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75" w:rsidRDefault="0042261F" w:rsidP="007B36B2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261F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</w:t>
      </w:r>
      <w:r w:rsidR="005F2B95" w:rsidRPr="005F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="007B3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</w:t>
      </w:r>
    </w:p>
    <w:p w:rsidR="00D03F75" w:rsidRDefault="000F5B7E" w:rsidP="007B36B2">
      <w:pPr>
        <w:spacing w:after="1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B7E">
        <w:rPr>
          <w:rFonts w:ascii="Times New Roman" w:hAnsi="Times New Roman" w:cs="Times New Roman"/>
          <w:b/>
          <w:sz w:val="24"/>
          <w:szCs w:val="24"/>
          <w:lang w:val="en-US"/>
        </w:rPr>
        <w:t>“Education with high opportunities for everyone: international experienc</w:t>
      </w:r>
      <w:r w:rsidR="00BA659E">
        <w:rPr>
          <w:rFonts w:ascii="Times New Roman" w:hAnsi="Times New Roman" w:cs="Times New Roman"/>
          <w:b/>
          <w:sz w:val="24"/>
          <w:szCs w:val="24"/>
          <w:lang w:val="en-US"/>
        </w:rPr>
        <w:t>e, evaluation, implementation”</w:t>
      </w:r>
    </w:p>
    <w:p w:rsidR="0042261F" w:rsidRDefault="00BA659E" w:rsidP="007B36B2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5B7E">
        <w:rPr>
          <w:rFonts w:ascii="Times New Roman" w:hAnsi="Times New Roman" w:cs="Times New Roman"/>
          <w:b/>
          <w:sz w:val="24"/>
          <w:szCs w:val="24"/>
          <w:lang w:val="en-US"/>
        </w:rPr>
        <w:t>September 7</w:t>
      </w:r>
      <w:r w:rsidR="000F5B7E" w:rsidRPr="0042261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BA6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F5B7E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</w:p>
    <w:p w:rsidR="00D03F75" w:rsidRPr="007B36B2" w:rsidRDefault="00D03F75" w:rsidP="001823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36B2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</w:p>
    <w:p w:rsidR="007B36B2" w:rsidRDefault="007B36B2" w:rsidP="00653967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6B2">
        <w:rPr>
          <w:rFonts w:ascii="Times New Roman" w:hAnsi="Times New Roman" w:cs="Times New Roman"/>
          <w:sz w:val="24"/>
          <w:szCs w:val="24"/>
          <w:lang w:val="en-US"/>
        </w:rPr>
        <w:t>The III International Conference "Education with high opportunities for everyone: international experience, evaluation, implementation" is organized by the Federal Service for Supervision in Education and Science (</w:t>
      </w:r>
      <w:proofErr w:type="spellStart"/>
      <w:r w:rsidRPr="007B36B2">
        <w:rPr>
          <w:rFonts w:ascii="Times New Roman" w:hAnsi="Times New Roman" w:cs="Times New Roman"/>
          <w:sz w:val="24"/>
          <w:szCs w:val="24"/>
          <w:lang w:val="en-US"/>
        </w:rPr>
        <w:t>Rosobrnadzor</w:t>
      </w:r>
      <w:proofErr w:type="spellEnd"/>
      <w:r w:rsidRPr="007B36B2">
        <w:rPr>
          <w:rFonts w:ascii="Times New Roman" w:hAnsi="Times New Roman" w:cs="Times New Roman"/>
          <w:sz w:val="24"/>
          <w:szCs w:val="24"/>
          <w:lang w:val="en-US"/>
        </w:rPr>
        <w:t xml:space="preserve">). The conference will be held within the framework of the </w:t>
      </w:r>
      <w:r w:rsidR="009C37F9">
        <w:rPr>
          <w:rFonts w:ascii="Times New Roman" w:hAnsi="Times New Roman" w:cs="Times New Roman"/>
          <w:sz w:val="24"/>
          <w:szCs w:val="24"/>
          <w:lang w:val="en-US"/>
        </w:rPr>
        <w:t xml:space="preserve">Moscow </w:t>
      </w:r>
      <w:r w:rsidR="00653967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057C63">
        <w:rPr>
          <w:rFonts w:ascii="Times New Roman" w:hAnsi="Times New Roman" w:cs="Times New Roman"/>
          <w:sz w:val="24"/>
          <w:szCs w:val="24"/>
          <w:lang w:val="en-US"/>
        </w:rPr>
        <w:t xml:space="preserve"> Forum "City for</w:t>
      </w:r>
      <w:r w:rsidRPr="007B36B2">
        <w:rPr>
          <w:rFonts w:ascii="Times New Roman" w:hAnsi="Times New Roman" w:cs="Times New Roman"/>
          <w:sz w:val="24"/>
          <w:szCs w:val="24"/>
          <w:lang w:val="en-US"/>
        </w:rPr>
        <w:t xml:space="preserve"> Education".</w:t>
      </w:r>
    </w:p>
    <w:p w:rsidR="00DD7B61" w:rsidRDefault="00DD7B61" w:rsidP="00653967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Address: Moscow, </w:t>
      </w:r>
      <w:proofErr w:type="spellStart"/>
      <w:r w:rsidRPr="00DD7B6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D7B61">
        <w:rPr>
          <w:rFonts w:ascii="Times New Roman" w:hAnsi="Times New Roman" w:cs="Times New Roman"/>
          <w:sz w:val="24"/>
          <w:szCs w:val="24"/>
          <w:lang w:val="en-US"/>
        </w:rPr>
        <w:t>-t. Mira, 119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VDNKh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57E34" w:rsidRPr="00D57E34">
        <w:rPr>
          <w:rFonts w:ascii="Times New Roman" w:hAnsi="Times New Roman" w:cs="Times New Roman"/>
          <w:sz w:val="24"/>
          <w:szCs w:val="24"/>
          <w:lang w:val="en-US"/>
        </w:rPr>
        <w:t xml:space="preserve">pavilion </w:t>
      </w:r>
      <w:r w:rsidR="00D57E34" w:rsidRPr="00C84DE2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DD7B61" w:rsidRPr="007B36B2" w:rsidRDefault="00DD7B61" w:rsidP="006539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Pr="00DD7B61">
        <w:rPr>
          <w:rFonts w:ascii="Times New Roman" w:hAnsi="Times New Roman" w:cs="Times New Roman"/>
          <w:sz w:val="24"/>
          <w:szCs w:val="24"/>
          <w:lang w:val="en-US"/>
        </w:rPr>
        <w:t>September 7th, 2017</w:t>
      </w:r>
    </w:p>
    <w:tbl>
      <w:tblPr>
        <w:tblStyle w:val="a3"/>
        <w:tblW w:w="5022" w:type="pct"/>
        <w:jc w:val="center"/>
        <w:tblLook w:val="04A0" w:firstRow="1" w:lastRow="0" w:firstColumn="1" w:lastColumn="0" w:noHBand="0" w:noVBand="1"/>
      </w:tblPr>
      <w:tblGrid>
        <w:gridCol w:w="1515"/>
        <w:gridCol w:w="5137"/>
        <w:gridCol w:w="4077"/>
      </w:tblGrid>
      <w:tr w:rsidR="00487EF6" w:rsidRPr="00CD61CC" w:rsidTr="008850BF">
        <w:trPr>
          <w:trHeight w:val="57"/>
          <w:jc w:val="center"/>
        </w:trPr>
        <w:tc>
          <w:tcPr>
            <w:tcW w:w="706" w:type="pct"/>
            <w:vAlign w:val="center"/>
          </w:tcPr>
          <w:p w:rsidR="00487EF6" w:rsidRPr="0042261F" w:rsidRDefault="0042261F" w:rsidP="004E56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2394" w:type="pct"/>
            <w:vAlign w:val="center"/>
          </w:tcPr>
          <w:p w:rsidR="00487EF6" w:rsidRPr="0042261F" w:rsidRDefault="0042261F" w:rsidP="004E56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="00D03F75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900" w:type="pct"/>
            <w:vAlign w:val="center"/>
          </w:tcPr>
          <w:p w:rsidR="00487EF6" w:rsidRPr="0042261F" w:rsidRDefault="0042261F" w:rsidP="004E56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Speakers</w:t>
            </w:r>
          </w:p>
        </w:tc>
      </w:tr>
      <w:tr w:rsidR="00393996" w:rsidRPr="00CD61CC" w:rsidTr="008850BF">
        <w:trPr>
          <w:trHeight w:val="57"/>
          <w:jc w:val="center"/>
        </w:trPr>
        <w:tc>
          <w:tcPr>
            <w:tcW w:w="706" w:type="pct"/>
            <w:vAlign w:val="center"/>
          </w:tcPr>
          <w:p w:rsidR="00393996" w:rsidRPr="00393996" w:rsidRDefault="00393996" w:rsidP="0039399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96">
              <w:rPr>
                <w:rFonts w:ascii="Times New Roman" w:hAnsi="Times New Roman" w:cs="Times New Roman"/>
                <w:b/>
              </w:rPr>
              <w:t>13:30 –</w:t>
            </w:r>
            <w:bookmarkStart w:id="0" w:name="_GoBack"/>
            <w:bookmarkEnd w:id="0"/>
            <w:r w:rsidRPr="00393996">
              <w:rPr>
                <w:rFonts w:ascii="Times New Roman" w:hAnsi="Times New Roman" w:cs="Times New Roman"/>
                <w:b/>
              </w:rPr>
              <w:t xml:space="preserve"> 14:20</w:t>
            </w:r>
          </w:p>
        </w:tc>
        <w:tc>
          <w:tcPr>
            <w:tcW w:w="2394" w:type="pct"/>
            <w:vAlign w:val="center"/>
          </w:tcPr>
          <w:p w:rsidR="00393996" w:rsidRDefault="00393996" w:rsidP="004E56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Registration</w:t>
            </w:r>
          </w:p>
        </w:tc>
        <w:tc>
          <w:tcPr>
            <w:tcW w:w="1900" w:type="pct"/>
            <w:vAlign w:val="center"/>
          </w:tcPr>
          <w:p w:rsidR="00393996" w:rsidRDefault="00393996" w:rsidP="004E56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54DBA" w:rsidRPr="00B54DBA" w:rsidTr="008850BF">
        <w:trPr>
          <w:trHeight w:val="629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14:30 – 14:35</w:t>
            </w:r>
          </w:p>
        </w:tc>
        <w:tc>
          <w:tcPr>
            <w:tcW w:w="2394" w:type="pct"/>
            <w:vAlign w:val="center"/>
          </w:tcPr>
          <w:p w:rsidR="00B54DBA" w:rsidRPr="008B2CFB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Introduction speech</w:t>
            </w:r>
          </w:p>
        </w:tc>
        <w:tc>
          <w:tcPr>
            <w:tcW w:w="1900" w:type="pct"/>
            <w:vAlign w:val="center"/>
          </w:tcPr>
          <w:p w:rsidR="00B54DBA" w:rsidRPr="000F5B7E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F5B7E">
              <w:rPr>
                <w:rFonts w:ascii="Times New Roman" w:hAnsi="Times New Roman" w:cs="Times New Roman"/>
                <w:b/>
                <w:lang w:val="en-US"/>
              </w:rPr>
              <w:t>Conference Chair</w:t>
            </w:r>
            <w:r w:rsidRPr="000F5B7E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7369E0">
              <w:rPr>
                <w:rFonts w:ascii="Times New Roman" w:hAnsi="Times New Roman" w:cs="Times New Roman"/>
                <w:lang w:val="en-US"/>
              </w:rPr>
              <w:t>Evgeny</w:t>
            </w:r>
            <w:proofErr w:type="spellEnd"/>
            <w:r w:rsidRPr="007369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9E0">
              <w:rPr>
                <w:rFonts w:ascii="Times New Roman" w:hAnsi="Times New Roman" w:cs="Times New Roman"/>
                <w:lang w:val="en-US"/>
              </w:rPr>
              <w:t>Semchenko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C5991">
              <w:rPr>
                <w:rFonts w:ascii="Times New Roman" w:hAnsi="Times New Roman" w:cs="Times New Roman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C402C">
              <w:rPr>
                <w:rFonts w:ascii="Times New Roman" w:hAnsi="Times New Roman" w:cs="Times New Roman"/>
                <w:szCs w:val="24"/>
                <w:lang w:val="en-US"/>
              </w:rPr>
              <w:t>Department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9C5991">
              <w:rPr>
                <w:rFonts w:ascii="Times New Roman" w:hAnsi="Times New Roman" w:cs="Times New Roman"/>
                <w:szCs w:val="24"/>
                <w:lang w:val="en-US"/>
              </w:rPr>
              <w:t>Rosobrnadzor</w:t>
            </w:r>
            <w:proofErr w:type="spellEnd"/>
          </w:p>
        </w:tc>
      </w:tr>
      <w:tr w:rsidR="00B54DBA" w:rsidRPr="00B54DBA" w:rsidTr="008850BF">
        <w:trPr>
          <w:trHeight w:val="680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14:35 – 14:50</w:t>
            </w:r>
          </w:p>
        </w:tc>
        <w:tc>
          <w:tcPr>
            <w:tcW w:w="2394" w:type="pct"/>
            <w:vAlign w:val="center"/>
          </w:tcPr>
          <w:p w:rsidR="00B54DBA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Introduction speech.</w:t>
            </w:r>
          </w:p>
          <w:p w:rsidR="00B54DBA" w:rsidRPr="008B2CFB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 quality assurance t</w:t>
            </w:r>
            <w:r w:rsidRPr="006845D5">
              <w:rPr>
                <w:rFonts w:ascii="Times New Roman" w:hAnsi="Times New Roman" w:cs="Times New Roman"/>
                <w:lang w:val="en-US"/>
              </w:rPr>
              <w:t>ools in the Russian Federation</w:t>
            </w:r>
          </w:p>
        </w:tc>
        <w:tc>
          <w:tcPr>
            <w:tcW w:w="1900" w:type="pct"/>
            <w:vAlign w:val="center"/>
          </w:tcPr>
          <w:p w:rsidR="00B54DBA" w:rsidRPr="000F5B7E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Sergey</w:t>
            </w:r>
            <w:r w:rsidRPr="000F5B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5991">
              <w:rPr>
                <w:rFonts w:ascii="Times New Roman" w:hAnsi="Times New Roman" w:cs="Times New Roman"/>
                <w:szCs w:val="24"/>
                <w:lang w:val="en-US"/>
              </w:rPr>
              <w:t>Kravtsov</w:t>
            </w:r>
            <w:proofErr w:type="spellEnd"/>
            <w:r w:rsidRPr="000F5B7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C5991">
              <w:rPr>
                <w:rFonts w:ascii="Times New Roman" w:hAnsi="Times New Roman" w:cs="Times New Roman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C5991">
              <w:rPr>
                <w:rFonts w:ascii="Times New Roman" w:hAnsi="Times New Roman" w:cs="Times New Roman"/>
                <w:szCs w:val="24"/>
                <w:lang w:val="en-US"/>
              </w:rPr>
              <w:t>Rosobrnadzor</w:t>
            </w:r>
            <w:proofErr w:type="spellEnd"/>
          </w:p>
        </w:tc>
      </w:tr>
      <w:tr w:rsidR="00B54DBA" w:rsidRPr="00B54DBA" w:rsidTr="008850BF">
        <w:trPr>
          <w:trHeight w:val="893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14:50 – 15:10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The educational space of the city of Moscow: The experience of implementation of modern educational technologies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Isaak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Moscow Government Minister and Head of the Department of Education of Moscow</w:t>
            </w:r>
          </w:p>
        </w:tc>
      </w:tr>
      <w:tr w:rsidR="00B54DBA" w:rsidRPr="00B54DBA" w:rsidTr="008850BF">
        <w:trPr>
          <w:trHeight w:val="624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15:10 - 15:30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Educating students for their future, not our past - insights from international comparisons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Andreas Schleicher, </w:t>
            </w:r>
            <w:r w:rsidRPr="003D20B1">
              <w:rPr>
                <w:rFonts w:ascii="Times New Roman" w:hAnsi="Times New Roman" w:cs="Times New Roman"/>
                <w:szCs w:val="24"/>
                <w:lang w:val="en-US"/>
              </w:rPr>
              <w:t>Director for the Directorate of Education and Skills, OECD</w:t>
            </w:r>
          </w:p>
        </w:tc>
      </w:tr>
      <w:tr w:rsidR="00B54DBA" w:rsidRPr="00B54DBA" w:rsidTr="008850BF">
        <w:trPr>
          <w:trHeight w:val="571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15:30 – 15:50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Quality assessment and educational policy development - The role of international large scale assessments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Anne-Berit Kavli, </w:t>
            </w:r>
            <w:r w:rsidRPr="003D20B1">
              <w:rPr>
                <w:rFonts w:ascii="Times New Roman" w:hAnsi="Times New Roman" w:cs="Times New Roman"/>
                <w:szCs w:val="24"/>
                <w:lang w:val="en-US"/>
              </w:rPr>
              <w:t>Chair, IEA</w:t>
            </w:r>
          </w:p>
        </w:tc>
      </w:tr>
      <w:tr w:rsidR="00B54DBA" w:rsidRPr="00B54DBA" w:rsidTr="008850BF">
        <w:trPr>
          <w:trHeight w:val="626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15:50 – 16:10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Singapore in international research: experience, achievements, innovations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Mike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Thiruman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President, Singapore Teachers’ Union</w:t>
            </w:r>
          </w:p>
        </w:tc>
      </w:tr>
      <w:tr w:rsidR="00B54DBA" w:rsidRPr="00B54DBA" w:rsidTr="008850BF">
        <w:trPr>
          <w:trHeight w:val="544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16:10 – 16:30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sv-SE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Modern educational technologies for all and everyone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Vladimir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Uzun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President of JSC "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Prosveshchenie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B804D5" w:rsidRPr="009451BA" w:rsidTr="008850BF">
        <w:trPr>
          <w:trHeight w:val="426"/>
          <w:jc w:val="center"/>
        </w:trPr>
        <w:tc>
          <w:tcPr>
            <w:tcW w:w="706" w:type="pct"/>
            <w:vAlign w:val="center"/>
          </w:tcPr>
          <w:p w:rsidR="00B804D5" w:rsidRPr="00B804D5" w:rsidRDefault="00393996" w:rsidP="00B804D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996">
              <w:rPr>
                <w:rFonts w:ascii="Times New Roman" w:hAnsi="Times New Roman" w:cs="Times New Roman"/>
                <w:b/>
              </w:rPr>
              <w:t>16:30 – 17:10</w:t>
            </w:r>
          </w:p>
        </w:tc>
        <w:tc>
          <w:tcPr>
            <w:tcW w:w="2394" w:type="pct"/>
            <w:vAlign w:val="center"/>
          </w:tcPr>
          <w:p w:rsidR="00B804D5" w:rsidRPr="003D20B1" w:rsidRDefault="00A52D77" w:rsidP="00B804D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B804D5" w:rsidRPr="003D20B1">
              <w:rPr>
                <w:rFonts w:ascii="Times New Roman" w:hAnsi="Times New Roman" w:cs="Times New Roman"/>
                <w:b/>
                <w:lang w:val="en-US"/>
              </w:rPr>
              <w:t>reak</w:t>
            </w:r>
          </w:p>
        </w:tc>
        <w:tc>
          <w:tcPr>
            <w:tcW w:w="1900" w:type="pct"/>
            <w:vAlign w:val="center"/>
          </w:tcPr>
          <w:p w:rsidR="00B804D5" w:rsidRPr="003D20B1" w:rsidRDefault="00B804D5" w:rsidP="00B804D5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4DBA" w:rsidRPr="00B54DBA" w:rsidTr="0033646F">
        <w:trPr>
          <w:trHeight w:val="553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17:10 – 17:30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Strengths of IEA's TIMSS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szCs w:val="24"/>
                <w:lang w:val="en-US"/>
              </w:rPr>
              <w:t xml:space="preserve">Paulina Korsnakova, Senior Research and Liaison Advisor, </w:t>
            </w:r>
            <w:r w:rsidRPr="003D20B1">
              <w:rPr>
                <w:rFonts w:ascii="Times New Roman" w:hAnsi="Times New Roman" w:cs="Times New Roman"/>
                <w:lang w:val="en-US"/>
              </w:rPr>
              <w:t>IEA</w:t>
            </w:r>
          </w:p>
        </w:tc>
      </w:tr>
      <w:tr w:rsidR="00B54DBA" w:rsidRPr="00B54DBA" w:rsidTr="008850BF">
        <w:trPr>
          <w:trHeight w:val="680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17:30 – 17:50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Evaluation of the quality of teaching in France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 xml:space="preserve">Gabrielle de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Groer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Honorary General Inspector of the Ministry of Education of France</w:t>
            </w:r>
          </w:p>
        </w:tc>
      </w:tr>
      <w:tr w:rsidR="00B54DBA" w:rsidRPr="00B54DBA" w:rsidTr="008850BF">
        <w:trPr>
          <w:trHeight w:val="680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17:50 – 18:10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Education system and revision of curriculum in Japan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Fumi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Ginshima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Curriculum Director &amp; Deputy Director of Department for Curriculum Research at the National Institute for Educational Policy Research, Japan</w:t>
            </w:r>
          </w:p>
        </w:tc>
      </w:tr>
      <w:tr w:rsidR="00B54DBA" w:rsidRPr="00B54DBA" w:rsidTr="008850BF">
        <w:trPr>
          <w:trHeight w:val="964"/>
          <w:jc w:val="center"/>
        </w:trPr>
        <w:tc>
          <w:tcPr>
            <w:tcW w:w="706" w:type="pct"/>
            <w:vAlign w:val="center"/>
          </w:tcPr>
          <w:p w:rsidR="00B54DBA" w:rsidRPr="00B54DBA" w:rsidRDefault="00B54DBA" w:rsidP="00B54D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54DBA">
              <w:rPr>
                <w:rFonts w:ascii="Times New Roman" w:hAnsi="Times New Roman" w:cs="Times New Roman"/>
              </w:rPr>
              <w:t>18:10 – 18:30</w:t>
            </w:r>
          </w:p>
        </w:tc>
        <w:tc>
          <w:tcPr>
            <w:tcW w:w="2394" w:type="pct"/>
            <w:vAlign w:val="center"/>
          </w:tcPr>
          <w:p w:rsidR="00B54DBA" w:rsidRPr="003D20B1" w:rsidRDefault="00B54DBA" w:rsidP="00B54DBA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D20B1">
              <w:rPr>
                <w:rFonts w:ascii="Times New Roman" w:hAnsi="Times New Roman" w:cs="Times New Roman"/>
                <w:lang w:val="en-US"/>
              </w:rPr>
              <w:t>Digitization and industry 4.0 - challenges for Vocational education and training</w:t>
            </w:r>
          </w:p>
        </w:tc>
        <w:tc>
          <w:tcPr>
            <w:tcW w:w="1900" w:type="pct"/>
            <w:vAlign w:val="center"/>
          </w:tcPr>
          <w:p w:rsidR="00B54DBA" w:rsidRPr="003D20B1" w:rsidRDefault="00B54DBA" w:rsidP="00B54DB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Yuliya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20B1">
              <w:rPr>
                <w:rFonts w:ascii="Times New Roman" w:hAnsi="Times New Roman" w:cs="Times New Roman"/>
                <w:lang w:val="en-US"/>
              </w:rPr>
              <w:t>Prakopchyk</w:t>
            </w:r>
            <w:proofErr w:type="spellEnd"/>
            <w:r w:rsidRPr="003D20B1">
              <w:rPr>
                <w:rFonts w:ascii="Times New Roman" w:hAnsi="Times New Roman" w:cs="Times New Roman"/>
                <w:lang w:val="en-US"/>
              </w:rPr>
              <w:t>, Head of division and Deputy Head of the Department, the Federal Institute for Vocational Education and Training (BIBB), Germany</w:t>
            </w:r>
          </w:p>
        </w:tc>
      </w:tr>
    </w:tbl>
    <w:p w:rsidR="009A6ED4" w:rsidRPr="00EF3EBF" w:rsidRDefault="009A6E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6ED4" w:rsidRPr="00EF3EBF" w:rsidSect="00C0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35A4"/>
    <w:multiLevelType w:val="hybridMultilevel"/>
    <w:tmpl w:val="ABCC5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7F81"/>
    <w:multiLevelType w:val="hybridMultilevel"/>
    <w:tmpl w:val="3096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4"/>
    <w:rsid w:val="00017726"/>
    <w:rsid w:val="00057C63"/>
    <w:rsid w:val="00084181"/>
    <w:rsid w:val="000A1276"/>
    <w:rsid w:val="000D04FE"/>
    <w:rsid w:val="000E7F96"/>
    <w:rsid w:val="000F5B7E"/>
    <w:rsid w:val="000F6CF2"/>
    <w:rsid w:val="00163EB0"/>
    <w:rsid w:val="00182325"/>
    <w:rsid w:val="001953F6"/>
    <w:rsid w:val="001B02CB"/>
    <w:rsid w:val="001F485C"/>
    <w:rsid w:val="002135EC"/>
    <w:rsid w:val="00215986"/>
    <w:rsid w:val="002161D2"/>
    <w:rsid w:val="00253E77"/>
    <w:rsid w:val="002F095D"/>
    <w:rsid w:val="00304C61"/>
    <w:rsid w:val="0033646F"/>
    <w:rsid w:val="003844A2"/>
    <w:rsid w:val="00393996"/>
    <w:rsid w:val="003C3922"/>
    <w:rsid w:val="003D20B1"/>
    <w:rsid w:val="00407405"/>
    <w:rsid w:val="0041060F"/>
    <w:rsid w:val="0042261F"/>
    <w:rsid w:val="00425863"/>
    <w:rsid w:val="00432092"/>
    <w:rsid w:val="00436898"/>
    <w:rsid w:val="00464A54"/>
    <w:rsid w:val="00487EF6"/>
    <w:rsid w:val="004A07E4"/>
    <w:rsid w:val="004E562A"/>
    <w:rsid w:val="005B6463"/>
    <w:rsid w:val="005C3EB6"/>
    <w:rsid w:val="005D5C7C"/>
    <w:rsid w:val="005D7A68"/>
    <w:rsid w:val="005E6DAD"/>
    <w:rsid w:val="005F2B95"/>
    <w:rsid w:val="006345CF"/>
    <w:rsid w:val="00643D30"/>
    <w:rsid w:val="00653967"/>
    <w:rsid w:val="006654FB"/>
    <w:rsid w:val="00680680"/>
    <w:rsid w:val="006845D5"/>
    <w:rsid w:val="00690D19"/>
    <w:rsid w:val="00691E86"/>
    <w:rsid w:val="006A0A05"/>
    <w:rsid w:val="006E0005"/>
    <w:rsid w:val="007019F5"/>
    <w:rsid w:val="0073114F"/>
    <w:rsid w:val="00732995"/>
    <w:rsid w:val="007369E0"/>
    <w:rsid w:val="0074192A"/>
    <w:rsid w:val="00752890"/>
    <w:rsid w:val="00797085"/>
    <w:rsid w:val="007A1817"/>
    <w:rsid w:val="007B287F"/>
    <w:rsid w:val="007B36B2"/>
    <w:rsid w:val="007C4850"/>
    <w:rsid w:val="007D771F"/>
    <w:rsid w:val="0084210D"/>
    <w:rsid w:val="008850BF"/>
    <w:rsid w:val="0089100B"/>
    <w:rsid w:val="008930FE"/>
    <w:rsid w:val="008B1DD7"/>
    <w:rsid w:val="008B2CFB"/>
    <w:rsid w:val="008D6DD5"/>
    <w:rsid w:val="008F7BF2"/>
    <w:rsid w:val="009361E4"/>
    <w:rsid w:val="009451BA"/>
    <w:rsid w:val="00973AE6"/>
    <w:rsid w:val="00981266"/>
    <w:rsid w:val="009A1791"/>
    <w:rsid w:val="009A6ED4"/>
    <w:rsid w:val="009C37F9"/>
    <w:rsid w:val="009C402C"/>
    <w:rsid w:val="00A011EB"/>
    <w:rsid w:val="00A1207E"/>
    <w:rsid w:val="00A331F5"/>
    <w:rsid w:val="00A52D77"/>
    <w:rsid w:val="00A911CE"/>
    <w:rsid w:val="00AA0DD8"/>
    <w:rsid w:val="00AE038B"/>
    <w:rsid w:val="00B54DBA"/>
    <w:rsid w:val="00B804D5"/>
    <w:rsid w:val="00B95C2D"/>
    <w:rsid w:val="00B97C51"/>
    <w:rsid w:val="00BA659E"/>
    <w:rsid w:val="00BE2C67"/>
    <w:rsid w:val="00C054AD"/>
    <w:rsid w:val="00C5180E"/>
    <w:rsid w:val="00C73CFA"/>
    <w:rsid w:val="00C75169"/>
    <w:rsid w:val="00C84DE2"/>
    <w:rsid w:val="00CB08B0"/>
    <w:rsid w:val="00CD61CC"/>
    <w:rsid w:val="00D03F75"/>
    <w:rsid w:val="00D046A0"/>
    <w:rsid w:val="00D3351F"/>
    <w:rsid w:val="00D57E34"/>
    <w:rsid w:val="00D70584"/>
    <w:rsid w:val="00D9722D"/>
    <w:rsid w:val="00DA5AD7"/>
    <w:rsid w:val="00DD7B61"/>
    <w:rsid w:val="00E103DF"/>
    <w:rsid w:val="00E56CC4"/>
    <w:rsid w:val="00E621C6"/>
    <w:rsid w:val="00E6713E"/>
    <w:rsid w:val="00EB0674"/>
    <w:rsid w:val="00EE5F2D"/>
    <w:rsid w:val="00EF3EBF"/>
    <w:rsid w:val="00F47FBE"/>
    <w:rsid w:val="00F70B70"/>
    <w:rsid w:val="00F87D13"/>
    <w:rsid w:val="00FA70C5"/>
    <w:rsid w:val="00FB4663"/>
    <w:rsid w:val="00FB5BC3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DEEF-6578-4040-B0AD-2696E70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D4"/>
    <w:pPr>
      <w:ind w:left="720"/>
      <w:contextualSpacing/>
    </w:pPr>
  </w:style>
  <w:style w:type="paragraph" w:styleId="a5">
    <w:name w:val="No Spacing"/>
    <w:uiPriority w:val="1"/>
    <w:qFormat/>
    <w:rsid w:val="00CD6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 "ИМЦА"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Терова Антонина Андреевна</dc:creator>
  <cp:lastModifiedBy>Барышков Алексей Олегович</cp:lastModifiedBy>
  <cp:revision>81</cp:revision>
  <cp:lastPrinted>2017-04-13T10:18:00Z</cp:lastPrinted>
  <dcterms:created xsi:type="dcterms:W3CDTF">2017-04-13T10:16:00Z</dcterms:created>
  <dcterms:modified xsi:type="dcterms:W3CDTF">2017-09-06T07:56:00Z</dcterms:modified>
</cp:coreProperties>
</file>