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D" w:rsidRPr="0030595E" w:rsidRDefault="0060712D" w:rsidP="0060712D">
      <w:pPr>
        <w:jc w:val="center"/>
        <w:rPr>
          <w:b/>
        </w:rPr>
      </w:pPr>
      <w:r w:rsidRPr="0030595E">
        <w:rPr>
          <w:b/>
        </w:rPr>
        <w:t xml:space="preserve">Федеральная служба по надзору в сфере образования и науки  </w:t>
      </w: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60712D" w:rsidRDefault="0060712D" w:rsidP="0060712D">
      <w:pPr>
        <w:spacing w:before="200" w:line="240" w:lineRule="auto"/>
        <w:ind w:left="-142" w:firstLine="709"/>
        <w:jc w:val="both"/>
      </w:pPr>
    </w:p>
    <w:p w:rsidR="008561F0" w:rsidRDefault="008561F0" w:rsidP="008561F0">
      <w:pPr>
        <w:spacing w:after="0" w:line="240" w:lineRule="auto"/>
        <w:jc w:val="center"/>
        <w:rPr>
          <w:b/>
        </w:rPr>
      </w:pPr>
      <w:r w:rsidRPr="00160CCA">
        <w:rPr>
          <w:b/>
        </w:rPr>
        <w:t xml:space="preserve">Доклад </w:t>
      </w:r>
    </w:p>
    <w:p w:rsidR="008561F0" w:rsidRDefault="008561F0" w:rsidP="008561F0">
      <w:pPr>
        <w:spacing w:after="0" w:line="240" w:lineRule="auto"/>
        <w:jc w:val="center"/>
        <w:rPr>
          <w:b/>
        </w:rPr>
      </w:pPr>
      <w:r w:rsidRPr="009321BF">
        <w:rPr>
          <w:b/>
        </w:rPr>
        <w:t>о лицензировани</w:t>
      </w:r>
      <w:r>
        <w:rPr>
          <w:b/>
        </w:rPr>
        <w:t xml:space="preserve">и образовательной деятельности </w:t>
      </w:r>
    </w:p>
    <w:p w:rsidR="008561F0" w:rsidRDefault="008561F0" w:rsidP="008561F0">
      <w:pPr>
        <w:spacing w:after="0" w:line="240" w:lineRule="auto"/>
        <w:jc w:val="center"/>
        <w:rPr>
          <w:b/>
        </w:rPr>
      </w:pPr>
      <w:r w:rsidRPr="009321BF">
        <w:rPr>
          <w:b/>
        </w:rPr>
        <w:t xml:space="preserve">органами </w:t>
      </w:r>
      <w:r w:rsidR="00F96EDC">
        <w:rPr>
          <w:b/>
        </w:rPr>
        <w:t>государственной</w:t>
      </w:r>
      <w:r w:rsidRPr="009321BF">
        <w:rPr>
          <w:b/>
        </w:rPr>
        <w:t xml:space="preserve"> власти субъектов Российской Федерации, </w:t>
      </w:r>
    </w:p>
    <w:p w:rsidR="008561F0" w:rsidRDefault="008561F0" w:rsidP="008561F0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осуществляющими</w:t>
      </w:r>
      <w:proofErr w:type="gramEnd"/>
      <w:r>
        <w:rPr>
          <w:b/>
        </w:rPr>
        <w:t xml:space="preserve"> переданные полномочия</w:t>
      </w:r>
      <w:r w:rsidRPr="009321BF">
        <w:rPr>
          <w:b/>
        </w:rPr>
        <w:t xml:space="preserve"> Российской Федерации</w:t>
      </w:r>
      <w:r>
        <w:rPr>
          <w:b/>
        </w:rPr>
        <w:t xml:space="preserve">  </w:t>
      </w:r>
    </w:p>
    <w:p w:rsidR="008561F0" w:rsidRDefault="008561F0" w:rsidP="008561F0">
      <w:pPr>
        <w:spacing w:after="0" w:line="240" w:lineRule="auto"/>
        <w:jc w:val="center"/>
        <w:rPr>
          <w:b/>
        </w:rPr>
      </w:pPr>
      <w:r>
        <w:rPr>
          <w:b/>
        </w:rPr>
        <w:t xml:space="preserve">в сфере </w:t>
      </w:r>
      <w:r w:rsidRPr="00A93A64">
        <w:rPr>
          <w:b/>
        </w:rPr>
        <w:t>образования</w:t>
      </w:r>
      <w:r w:rsidR="004205DC">
        <w:rPr>
          <w:b/>
        </w:rPr>
        <w:t>,</w:t>
      </w:r>
      <w:r w:rsidRPr="00A93A64">
        <w:rPr>
          <w:b/>
        </w:rPr>
        <w:t xml:space="preserve"> в 201</w:t>
      </w:r>
      <w:r w:rsidR="00F01806">
        <w:rPr>
          <w:b/>
        </w:rPr>
        <w:t>7</w:t>
      </w:r>
      <w:r w:rsidRPr="00A93A64">
        <w:rPr>
          <w:b/>
        </w:rPr>
        <w:t xml:space="preserve"> году</w:t>
      </w:r>
    </w:p>
    <w:p w:rsidR="0060712D" w:rsidRPr="00C9624A" w:rsidRDefault="0060712D" w:rsidP="0060712D">
      <w:pPr>
        <w:jc w:val="center"/>
        <w:rPr>
          <w:b/>
        </w:rPr>
      </w:pPr>
    </w:p>
    <w:p w:rsidR="0060712D" w:rsidRPr="00C9624A" w:rsidRDefault="0060712D" w:rsidP="0060712D">
      <w:pPr>
        <w:jc w:val="center"/>
        <w:rPr>
          <w:b/>
        </w:rPr>
      </w:pPr>
    </w:p>
    <w:p w:rsidR="0060712D" w:rsidRPr="00C9624A" w:rsidRDefault="0060712D" w:rsidP="0060712D">
      <w:pPr>
        <w:jc w:val="center"/>
        <w:rPr>
          <w:b/>
        </w:rPr>
      </w:pPr>
    </w:p>
    <w:p w:rsidR="0060712D" w:rsidRPr="00C9624A" w:rsidRDefault="0060712D" w:rsidP="0060712D">
      <w:pPr>
        <w:jc w:val="center"/>
        <w:rPr>
          <w:b/>
        </w:rPr>
      </w:pPr>
    </w:p>
    <w:p w:rsidR="0060712D" w:rsidRPr="00C9624A" w:rsidRDefault="0060712D" w:rsidP="0060712D">
      <w:pPr>
        <w:jc w:val="center"/>
        <w:rPr>
          <w:b/>
        </w:rPr>
      </w:pPr>
    </w:p>
    <w:p w:rsidR="0060712D" w:rsidRPr="00C9624A" w:rsidRDefault="0060712D" w:rsidP="0060712D">
      <w:pPr>
        <w:jc w:val="center"/>
        <w:rPr>
          <w:b/>
        </w:rPr>
      </w:pPr>
    </w:p>
    <w:p w:rsidR="0060712D" w:rsidRPr="00C9624A" w:rsidRDefault="0060712D" w:rsidP="0060712D">
      <w:pPr>
        <w:jc w:val="center"/>
        <w:rPr>
          <w:b/>
        </w:rPr>
      </w:pPr>
    </w:p>
    <w:p w:rsidR="0060712D" w:rsidRPr="00C9624A" w:rsidRDefault="0060712D" w:rsidP="0060712D">
      <w:pPr>
        <w:jc w:val="center"/>
        <w:rPr>
          <w:b/>
        </w:rPr>
      </w:pPr>
    </w:p>
    <w:p w:rsidR="00A178D3" w:rsidRPr="00C9624A" w:rsidRDefault="00A178D3" w:rsidP="0060712D">
      <w:pPr>
        <w:jc w:val="center"/>
        <w:rPr>
          <w:b/>
        </w:rPr>
      </w:pPr>
    </w:p>
    <w:p w:rsidR="00A178D3" w:rsidRPr="00C9624A" w:rsidRDefault="00A178D3" w:rsidP="0060712D">
      <w:pPr>
        <w:jc w:val="center"/>
        <w:rPr>
          <w:b/>
        </w:rPr>
      </w:pPr>
    </w:p>
    <w:p w:rsidR="0045218F" w:rsidRDefault="0045218F" w:rsidP="0060712D">
      <w:pPr>
        <w:spacing w:after="0" w:line="240" w:lineRule="auto"/>
        <w:jc w:val="center"/>
        <w:rPr>
          <w:b/>
        </w:rPr>
      </w:pPr>
    </w:p>
    <w:p w:rsidR="0060712D" w:rsidRPr="00C9624A" w:rsidRDefault="0060712D" w:rsidP="0060712D">
      <w:pPr>
        <w:spacing w:after="0" w:line="240" w:lineRule="auto"/>
        <w:jc w:val="center"/>
        <w:rPr>
          <w:b/>
        </w:rPr>
      </w:pPr>
      <w:r w:rsidRPr="00C9624A">
        <w:rPr>
          <w:b/>
        </w:rPr>
        <w:t>201</w:t>
      </w:r>
      <w:r w:rsidR="00F01806">
        <w:rPr>
          <w:b/>
        </w:rPr>
        <w:t>8</w:t>
      </w:r>
      <w:r w:rsidR="00CE19E2" w:rsidRPr="00C9624A">
        <w:rPr>
          <w:b/>
        </w:rPr>
        <w:t xml:space="preserve"> год</w:t>
      </w:r>
    </w:p>
    <w:p w:rsidR="0060712D" w:rsidRPr="00C9624A" w:rsidRDefault="0060712D" w:rsidP="0060712D">
      <w:pPr>
        <w:spacing w:after="0" w:line="240" w:lineRule="auto"/>
        <w:jc w:val="center"/>
        <w:rPr>
          <w:b/>
        </w:rPr>
      </w:pPr>
      <w:r w:rsidRPr="00C9624A">
        <w:rPr>
          <w:b/>
        </w:rPr>
        <w:t>Москва</w:t>
      </w:r>
    </w:p>
    <w:p w:rsidR="0060712D" w:rsidRDefault="0060712D" w:rsidP="0060712D">
      <w:pPr>
        <w:jc w:val="center"/>
        <w:outlineLvl w:val="0"/>
        <w:rPr>
          <w:b/>
        </w:rPr>
      </w:pPr>
      <w:bookmarkStart w:id="0" w:name="_Toc350781541"/>
      <w:bookmarkStart w:id="1" w:name="_Toc475535808"/>
      <w:bookmarkStart w:id="2" w:name="_Toc381779663"/>
      <w:r w:rsidRPr="0020033C">
        <w:rPr>
          <w:b/>
        </w:rPr>
        <w:lastRenderedPageBreak/>
        <w:t>Общие положения</w:t>
      </w:r>
      <w:bookmarkEnd w:id="0"/>
      <w:bookmarkEnd w:id="1"/>
    </w:p>
    <w:p w:rsidR="0060712D" w:rsidRPr="000516E3" w:rsidRDefault="0060712D" w:rsidP="004A02F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516E3">
        <w:rPr>
          <w:b w:val="0"/>
          <w:sz w:val="28"/>
          <w:szCs w:val="28"/>
        </w:rPr>
        <w:t xml:space="preserve">Настоящий доклад подготовлен в соответствии с постановлением Правительства Российской </w:t>
      </w:r>
      <w:r w:rsidRPr="00BE03AD">
        <w:rPr>
          <w:b w:val="0"/>
          <w:sz w:val="28"/>
          <w:szCs w:val="28"/>
        </w:rPr>
        <w:t>Федерации от 5 мая 2012 г</w:t>
      </w:r>
      <w:r>
        <w:rPr>
          <w:b w:val="0"/>
          <w:sz w:val="28"/>
          <w:szCs w:val="28"/>
        </w:rPr>
        <w:t xml:space="preserve">. </w:t>
      </w:r>
      <w:r w:rsidRPr="00BE03AD">
        <w:rPr>
          <w:b w:val="0"/>
          <w:sz w:val="28"/>
          <w:szCs w:val="28"/>
        </w:rPr>
        <w:t>№ 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</w:t>
      </w:r>
      <w:r>
        <w:rPr>
          <w:b w:val="0"/>
          <w:sz w:val="28"/>
          <w:szCs w:val="28"/>
        </w:rPr>
        <w:t xml:space="preserve">, </w:t>
      </w:r>
      <w:r w:rsidRPr="00BE03AD">
        <w:rPr>
          <w:b w:val="0"/>
          <w:sz w:val="28"/>
          <w:szCs w:val="28"/>
        </w:rPr>
        <w:t>а также на основании:</w:t>
      </w:r>
      <w:r w:rsidRPr="000516E3">
        <w:rPr>
          <w:b w:val="0"/>
          <w:sz w:val="28"/>
          <w:szCs w:val="28"/>
        </w:rPr>
        <w:t xml:space="preserve"> </w:t>
      </w:r>
    </w:p>
    <w:p w:rsidR="0060712D" w:rsidRPr="005A6C24" w:rsidRDefault="0060712D" w:rsidP="004A02F3">
      <w:pPr>
        <w:spacing w:after="0" w:line="240" w:lineRule="auto"/>
        <w:ind w:firstLine="709"/>
        <w:jc w:val="both"/>
      </w:pPr>
      <w:r w:rsidRPr="00931E24">
        <w:t>докладов органов исполнительной власти субъектов Российской Федерации, осуществляющих переданные полномочия</w:t>
      </w:r>
      <w:r w:rsidRPr="00931E24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по лицензированию образовательной деятельности</w:t>
      </w:r>
      <w:r w:rsidRPr="00931E24">
        <w:rPr>
          <w:color w:val="000000"/>
        </w:rPr>
        <w:t xml:space="preserve"> в </w:t>
      </w:r>
      <w:r w:rsidR="00FB07FC">
        <w:rPr>
          <w:color w:val="000000"/>
        </w:rPr>
        <w:t>сфере</w:t>
      </w:r>
      <w:r w:rsidRPr="00931E24">
        <w:rPr>
          <w:color w:val="000000"/>
        </w:rPr>
        <w:t xml:space="preserve"> </w:t>
      </w:r>
      <w:r w:rsidRPr="00A55F09">
        <w:rPr>
          <w:color w:val="000000"/>
        </w:rPr>
        <w:t>образования</w:t>
      </w:r>
      <w:r w:rsidRPr="00A55F09">
        <w:t xml:space="preserve"> на территории субъекта Российской Федерации</w:t>
      </w:r>
      <w:r>
        <w:t xml:space="preserve"> (далее – лицензирующие органы </w:t>
      </w:r>
      <w:r w:rsidRPr="005A6C24">
        <w:t>субъектов Российской Федерации), за 201</w:t>
      </w:r>
      <w:r w:rsidR="00C20C50">
        <w:t>7</w:t>
      </w:r>
      <w:r w:rsidR="00D8515C">
        <w:t xml:space="preserve"> </w:t>
      </w:r>
      <w:r w:rsidRPr="005A6C24">
        <w:t>год, представленных в Федеральную службу по надзору в сфере образования и науки. В доклады лицензирующих органов субъектов Российской Федерации включены данные проведенного ими мониторинга эффективности лицензирования;</w:t>
      </w:r>
    </w:p>
    <w:p w:rsidR="0060712D" w:rsidRPr="005A6C24" w:rsidRDefault="0060712D" w:rsidP="004A02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proofErr w:type="gramStart"/>
      <w:r w:rsidRPr="005A6C24">
        <w:t>сведений по форме федерального статистического наблюдения</w:t>
      </w:r>
      <w:r w:rsidR="003A1BC4">
        <w:t xml:space="preserve"> </w:t>
      </w:r>
      <w:r w:rsidR="003A23BF">
        <w:br/>
      </w:r>
      <w:r w:rsidRPr="005A6C24">
        <w:t xml:space="preserve">№ 1-лицензирование «Сведения об осуществлении лицензирования» </w:t>
      </w:r>
      <w:r w:rsidRPr="00A866E2">
        <w:t>согласно приказу Федеральной службы государственной статистики от 30 марта 2012 г. № 103 «Об утверждении статистического инструментария для организации Министерством</w:t>
      </w:r>
      <w:r w:rsidRPr="005A6C24">
        <w:t xml:space="preserve">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деятельности» за 201</w:t>
      </w:r>
      <w:r w:rsidR="00C20C50">
        <w:t>7</w:t>
      </w:r>
      <w:r w:rsidRPr="005A6C24">
        <w:t xml:space="preserve"> год</w:t>
      </w:r>
      <w:r w:rsidR="008A6FC3">
        <w:t xml:space="preserve"> (далее - </w:t>
      </w:r>
      <w:r w:rsidR="008A6FC3" w:rsidRPr="008A6FC3">
        <w:t>форм</w:t>
      </w:r>
      <w:r w:rsidR="008A6FC3">
        <w:t>а</w:t>
      </w:r>
      <w:r w:rsidR="008A6FC3" w:rsidRPr="008A6FC3">
        <w:t xml:space="preserve"> федерального статистического наблюдения № 1-лицензирование</w:t>
      </w:r>
      <w:r w:rsidR="008A6FC3">
        <w:t>)</w:t>
      </w:r>
      <w:r w:rsidRPr="005A6C24">
        <w:t>.</w:t>
      </w:r>
      <w:proofErr w:type="gramEnd"/>
    </w:p>
    <w:p w:rsidR="00627DB9" w:rsidRPr="005A6C24" w:rsidRDefault="0060712D" w:rsidP="004A02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A6C24">
        <w:t xml:space="preserve">Доклад отражает результаты и основные направления деятельности </w:t>
      </w:r>
      <w:r w:rsidR="00B801BD">
        <w:br/>
      </w:r>
      <w:r w:rsidR="006F0D31">
        <w:t>85</w:t>
      </w:r>
      <w:r w:rsidR="006F0D31" w:rsidRPr="005A6C24">
        <w:t xml:space="preserve"> </w:t>
      </w:r>
      <w:r w:rsidRPr="005A6C24">
        <w:t>лицензирующих органов субъектов Российской Федерации, осуществляющих переданные полномочия</w:t>
      </w:r>
      <w:r w:rsidR="00A12A06">
        <w:t xml:space="preserve"> Российской Федерации в сфере образования</w:t>
      </w:r>
      <w:r w:rsidRPr="005A6C24">
        <w:t>, а также показатели эффективности лицензирования образовательной деятельности в 201</w:t>
      </w:r>
      <w:r w:rsidR="00C20C50">
        <w:t>7</w:t>
      </w:r>
      <w:r w:rsidRPr="005A6C24">
        <w:t xml:space="preserve"> году. </w:t>
      </w:r>
    </w:p>
    <w:p w:rsidR="0060712D" w:rsidRDefault="0060712D" w:rsidP="004A02F3">
      <w:pPr>
        <w:spacing w:after="0" w:line="240" w:lineRule="auto"/>
        <w:ind w:firstLine="709"/>
        <w:contextualSpacing/>
        <w:jc w:val="both"/>
        <w:rPr>
          <w:iCs/>
        </w:rPr>
      </w:pPr>
      <w:r w:rsidRPr="005A6C24">
        <w:t xml:space="preserve">Полномочия  по осуществлению лицензирования образовательной деятельности являются частью полномочий Российской Федерации в </w:t>
      </w:r>
      <w:r w:rsidR="00FB07FC">
        <w:t xml:space="preserve">сфере </w:t>
      </w:r>
      <w:r w:rsidRPr="005A6C24">
        <w:t>образования, переданных для осуществления   органам государственной власти субъектов Российской Федерации в соответствии с пунктом 2 части 1 статьи 7</w:t>
      </w:r>
      <w:r w:rsidRPr="008F63E3">
        <w:t xml:space="preserve"> </w:t>
      </w:r>
      <w:r>
        <w:t>Федерального з</w:t>
      </w:r>
      <w:r w:rsidRPr="008F63E3">
        <w:t xml:space="preserve">акона </w:t>
      </w:r>
      <w:r>
        <w:t xml:space="preserve">от </w:t>
      </w:r>
      <w:r w:rsidRPr="00E62139">
        <w:rPr>
          <w:iCs/>
        </w:rPr>
        <w:t>29</w:t>
      </w:r>
      <w:r>
        <w:rPr>
          <w:iCs/>
        </w:rPr>
        <w:t xml:space="preserve"> декабря </w:t>
      </w:r>
      <w:r w:rsidRPr="00E62139">
        <w:rPr>
          <w:iCs/>
        </w:rPr>
        <w:t>2012</w:t>
      </w:r>
      <w:r>
        <w:rPr>
          <w:iCs/>
        </w:rPr>
        <w:t xml:space="preserve"> г. №</w:t>
      </w:r>
      <w:r w:rsidRPr="00E62139">
        <w:rPr>
          <w:iCs/>
        </w:rPr>
        <w:t xml:space="preserve"> 273-ФЗ </w:t>
      </w:r>
      <w:r w:rsidRPr="008F63E3">
        <w:t>«Об образовании</w:t>
      </w:r>
      <w:r>
        <w:t xml:space="preserve"> в Российской Федерации</w:t>
      </w:r>
      <w:r w:rsidRPr="008F63E3">
        <w:t>»</w:t>
      </w:r>
      <w:r>
        <w:t xml:space="preserve"> (далее – </w:t>
      </w:r>
      <w:r w:rsidRPr="00E62139">
        <w:rPr>
          <w:iCs/>
        </w:rPr>
        <w:t>Федеральный</w:t>
      </w:r>
      <w:r>
        <w:rPr>
          <w:iCs/>
        </w:rPr>
        <w:t xml:space="preserve"> </w:t>
      </w:r>
      <w:r w:rsidRPr="00E62139">
        <w:rPr>
          <w:iCs/>
        </w:rPr>
        <w:t>закон</w:t>
      </w:r>
      <w:r>
        <w:rPr>
          <w:iCs/>
        </w:rPr>
        <w:t xml:space="preserve"> № 273-ФЗ).</w:t>
      </w:r>
    </w:p>
    <w:p w:rsidR="0060712D" w:rsidRDefault="0060712D" w:rsidP="004A02F3">
      <w:pPr>
        <w:tabs>
          <w:tab w:val="left" w:pos="-142"/>
        </w:tabs>
        <w:ind w:firstLine="70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677" w:rsidRPr="004F1E7F" w:rsidRDefault="0060712D" w:rsidP="004F1E7F">
      <w:pPr>
        <w:pStyle w:val="3"/>
      </w:pPr>
      <w:r>
        <w:br w:type="page"/>
      </w:r>
      <w:r w:rsidR="00DA4677" w:rsidRPr="004F1E7F">
        <w:lastRenderedPageBreak/>
        <w:t>Перечень лицензирующих органов субъектов Российской Федерации по состоянию на 31 декабря 201</w:t>
      </w:r>
      <w:r w:rsidR="00A860D8">
        <w:t>7</w:t>
      </w:r>
      <w:r w:rsidR="00DA4677" w:rsidRPr="004F1E7F">
        <w:t xml:space="preserve"> года</w:t>
      </w:r>
    </w:p>
    <w:tbl>
      <w:tblPr>
        <w:tblW w:w="9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8800"/>
      </w:tblGrid>
      <w:tr w:rsidR="00DA4677" w:rsidRPr="00AF0E4B" w:rsidTr="0097061B">
        <w:trPr>
          <w:tblHeader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DA4677" w:rsidRPr="004F1E7F" w:rsidRDefault="00DA4677" w:rsidP="0097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b/>
                <w:sz w:val="24"/>
                <w:szCs w:val="24"/>
                <w:lang w:eastAsia="ru-RU"/>
              </w:rPr>
            </w:pPr>
            <w:r w:rsidRPr="004F1E7F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1E7F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1E7F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00" w:type="dxa"/>
            <w:tcBorders>
              <w:bottom w:val="single" w:sz="4" w:space="0" w:color="auto"/>
            </w:tcBorders>
            <w:shd w:val="clear" w:color="auto" w:fill="auto"/>
          </w:tcPr>
          <w:p w:rsidR="00DA4677" w:rsidRPr="004F1E7F" w:rsidRDefault="00DA4677" w:rsidP="0097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1E7F">
              <w:rPr>
                <w:b/>
                <w:sz w:val="24"/>
                <w:szCs w:val="24"/>
                <w:lang w:eastAsia="ru-RU"/>
              </w:rPr>
              <w:t xml:space="preserve">Наименование органов государственной власти субъектов Российской Федерации, осуществляющих переданные полномочия Российской Федерации в сфере образования  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1.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Адыгея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6" w:after="0" w:line="240" w:lineRule="auto"/>
              <w:ind w:right="44"/>
              <w:rPr>
                <w:lang w:eastAsia="ru-RU"/>
              </w:rPr>
            </w:pPr>
            <w:r w:rsidRPr="00AF0E4B">
              <w:rPr>
                <w:lang w:eastAsia="ru-RU"/>
              </w:rPr>
              <w:t>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Алтай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  <w:rPr>
                <w:b/>
                <w:bCs/>
              </w:rPr>
            </w:pPr>
            <w:r w:rsidRPr="00AF0E4B">
              <w:rPr>
                <w:b/>
                <w:bCs/>
              </w:rPr>
              <w:t>Управление по контролю и надзору в сфере образования Республики Башкортостан*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Бурятия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Дагестан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Ингушетия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образования, науки и по делам молодежи Кабардино-Балкарской Республики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Калмыкия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Карачаево-Черкесской Республики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Республики Карелия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молодежной политики Республики Коми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Марий Эл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Республики Мордовия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</w:t>
            </w:r>
            <w:r w:rsidR="00DE0AA7">
              <w:t xml:space="preserve"> и науки</w:t>
            </w:r>
            <w:r w:rsidRPr="00AF0E4B">
              <w:t xml:space="preserve"> Республики Саха (Якутия)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Северная Осетия – Алания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Татарстан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  <w:rPr>
                <w:b/>
              </w:rPr>
            </w:pPr>
            <w:r w:rsidRPr="00AF0E4B">
              <w:t>Министерство образования, науки и молодежи Республики Крым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E0AA7" w:rsidP="0097061B">
            <w:pPr>
              <w:spacing w:before="6" w:after="0"/>
            </w:pPr>
            <w:r w:rsidRPr="00DE0AA7">
              <w:t>Министерство образования и науки Республики Тыва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19.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Удмуртской Республики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Республики Хакасия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Чеченской Республики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молодежной политики Чувашской Республики</w:t>
            </w:r>
          </w:p>
        </w:tc>
      </w:tr>
      <w:tr w:rsidR="00DA4677" w:rsidRPr="00AF0E4B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E0AA7" w:rsidP="0097061B">
            <w:pPr>
              <w:spacing w:before="6" w:after="0"/>
            </w:pPr>
            <w:r>
              <w:t>Министерство</w:t>
            </w:r>
            <w:r w:rsidR="00DA4677" w:rsidRPr="00AF0E4B">
              <w:t xml:space="preserve"> образования и науки Алтайского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образования, науки и молодежной политики Забайкальского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DE0AA7">
            <w:pPr>
              <w:spacing w:before="6" w:after="0"/>
            </w:pPr>
            <w:r w:rsidRPr="00AF0E4B">
              <w:t xml:space="preserve">Министерство образования и </w:t>
            </w:r>
            <w:r w:rsidR="00DE0AA7">
              <w:t>молодежной политики</w:t>
            </w:r>
            <w:r w:rsidRPr="00AF0E4B">
              <w:t xml:space="preserve"> Камчатского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lastRenderedPageBreak/>
              <w:t>26.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образования, науки и молодежной политики Краснодарского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Красноярского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E0AA7" w:rsidP="0097061B">
            <w:pPr>
              <w:spacing w:before="6" w:after="0"/>
              <w:rPr>
                <w:b/>
                <w:bCs/>
              </w:rPr>
            </w:pPr>
            <w:r w:rsidRPr="00DE0AA7">
              <w:t>Министерство образования и науки</w:t>
            </w:r>
            <w:r w:rsidR="00DA4677" w:rsidRPr="00DE0AA7">
              <w:t xml:space="preserve"> Пермского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29.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и науки Приморского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молодежной политики Ставропольского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Хабаровского края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Амурской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Архангельской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Астраханской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Белгородской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и науки Брянской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администрации Владимирской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DE0AA7">
            <w:pPr>
              <w:spacing w:before="6" w:after="0"/>
            </w:pPr>
            <w:r w:rsidRPr="00AF0E4B">
              <w:t>Комитет образования</w:t>
            </w:r>
            <w:r w:rsidR="00DE0AA7">
              <w:t xml:space="preserve">, </w:t>
            </w:r>
            <w:r w:rsidRPr="00AF0E4B">
              <w:t>науки</w:t>
            </w:r>
            <w:r w:rsidR="00DE0AA7">
              <w:t xml:space="preserve"> и молодежной политики</w:t>
            </w:r>
            <w:r w:rsidRPr="00AF0E4B">
              <w:t xml:space="preserve"> Волгоградской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39.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Вологодской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образования, науки и молодежной политики Воронежской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Ивановской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  <w:rPr>
                <w:b/>
                <w:bCs/>
              </w:rPr>
            </w:pPr>
            <w:r w:rsidRPr="00AF0E4B">
              <w:rPr>
                <w:b/>
                <w:bCs/>
              </w:rPr>
              <w:t>Служба по контролю и надзору в сфере образования Иркутской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Калининградской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Калужской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  <w:rPr>
                <w:b/>
                <w:bCs/>
              </w:rPr>
            </w:pPr>
            <w:r w:rsidRPr="00AF0E4B">
              <w:rPr>
                <w:b/>
                <w:bCs/>
              </w:rPr>
              <w:t>Государственная служба по надзору и контролю в сфере образования Кемеровской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Кировской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и науки Костромской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и науки Курганской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49.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Комитет образования и науки Курской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Комитет общего и профессионального образования Ленинградской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Управление образования и науки Липецкой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lastRenderedPageBreak/>
              <w:t>52.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молодежной политики Магаданской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Московской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Мурманской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037964">
              <w:t>Министерство образования</w:t>
            </w:r>
            <w:r w:rsidR="00037964" w:rsidRPr="00037964">
              <w:t>, науки и молодежной политики</w:t>
            </w:r>
            <w:r w:rsidRPr="00037964">
              <w:t xml:space="preserve"> Нижегородской области</w:t>
            </w:r>
          </w:p>
        </w:tc>
      </w:tr>
      <w:tr w:rsidR="00DA4677" w:rsidRPr="00EC6FFC" w:rsidTr="0097061B">
        <w:trPr>
          <w:cantSplit/>
          <w:trHeight w:val="25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C20C50" w:rsidP="00C20C50">
            <w:pPr>
              <w:spacing w:before="6" w:after="0"/>
            </w:pPr>
            <w:r>
              <w:t>Министерство</w:t>
            </w:r>
            <w:r w:rsidR="00DA4677" w:rsidRPr="00AF0E4B">
              <w:t xml:space="preserve"> образования Новгородской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образования, науки и инновационной политики Новосибирской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Омской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59.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Оренбургской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Орловской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Пензенской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Государственное управление образования Псковской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  <w:rPr>
                <w:b/>
                <w:bCs/>
              </w:rPr>
            </w:pPr>
            <w:r w:rsidRPr="00AF0E4B">
              <w:rPr>
                <w:b/>
                <w:bCs/>
              </w:rPr>
              <w:t>Региональная служба по надзору и контролю в сфере образования Ростовской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</w:t>
            </w:r>
            <w:r w:rsidR="00C20C50">
              <w:t xml:space="preserve"> и молодежной политики</w:t>
            </w:r>
            <w:r w:rsidRPr="00AF0E4B">
              <w:t xml:space="preserve"> Рязанской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Самарской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Саратовской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Сахалинской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общего и профессионального образования Свердловской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69.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C20C50">
            <w:pPr>
              <w:spacing w:before="6" w:after="0"/>
            </w:pPr>
            <w:r w:rsidRPr="00AF0E4B">
              <w:t>Департамент См</w:t>
            </w:r>
            <w:r w:rsidR="00C20C50">
              <w:t>оленской области по образованию и</w:t>
            </w:r>
            <w:r w:rsidRPr="00AF0E4B">
              <w:t xml:space="preserve"> науке 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Управление образования и науки Тамбовской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Тверской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  <w:rPr>
                <w:b/>
                <w:bCs/>
              </w:rPr>
            </w:pPr>
            <w:r w:rsidRPr="00AF0E4B">
              <w:rPr>
                <w:b/>
                <w:bCs/>
              </w:rPr>
              <w:t>Комитет по контролю, надзору и лицензированию в сфере образования Томской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Тульской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  <w:rPr>
                <w:bCs/>
              </w:rPr>
            </w:pPr>
            <w:r w:rsidRPr="00AF0E4B">
              <w:rPr>
                <w:bCs/>
              </w:rPr>
              <w:t>Департамент образования и науки Тюменской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Ульяновской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Министерство образования и науки Челябинской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97061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97061B">
            <w:pPr>
              <w:spacing w:before="6" w:after="0"/>
            </w:pPr>
            <w:r w:rsidRPr="00AF0E4B">
              <w:t>Департамент образования Ярославской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78.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  <w:r w:rsidRPr="00AF0E4B">
              <w:t>Департамент образования города Москвы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lastRenderedPageBreak/>
              <w:t>79.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  <w:r w:rsidRPr="00AF0E4B">
              <w:t xml:space="preserve">Комитет по образованию </w:t>
            </w:r>
            <w:r w:rsidR="00DD0BB0">
              <w:t xml:space="preserve">г. </w:t>
            </w:r>
            <w:r w:rsidRPr="00AF0E4B">
              <w:t>Санкт-Петербурга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80.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  <w:r w:rsidRPr="00AF0E4B">
              <w:t>Департамент образования г. Севастополя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81.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  <w:r w:rsidRPr="00AF0E4B">
              <w:t>Комитет образования Еврейской автономной области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82.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  <w:rPr>
                <w:b/>
                <w:bCs/>
              </w:rPr>
            </w:pPr>
            <w:r w:rsidRPr="00AF0E4B">
              <w:rPr>
                <w:b/>
                <w:bCs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83.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  <w:r w:rsidRPr="00AF0E4B">
              <w:t>Департамент образования, культуры и спорта Чукотского автономного округа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84.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  <w:r w:rsidRPr="00AF0E4B">
              <w:t>Департамент образования Ямало-Ненецкого автономного округа</w:t>
            </w:r>
          </w:p>
        </w:tc>
      </w:tr>
      <w:tr w:rsidR="00DA4677" w:rsidRPr="00EC6FFC" w:rsidTr="0097061B">
        <w:trPr>
          <w:cantSplit/>
          <w:trHeight w:val="72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  <w:r w:rsidRPr="00AF0E4B">
              <w:rPr>
                <w:lang w:eastAsia="ru-RU"/>
              </w:rPr>
              <w:t>85.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  <w:r w:rsidRPr="00AF0E4B">
              <w:t>Департамент образования, культуры и спорта Ненецкого автономного округа</w:t>
            </w: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AF0E4B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lang w:eastAsia="ru-RU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AF0E4B" w:rsidRDefault="00DA4677" w:rsidP="004A02F3">
            <w:pPr>
              <w:spacing w:before="6" w:after="0"/>
            </w:pP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EC6FFC" w:rsidRDefault="00DA4677" w:rsidP="004A0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EC6FFC" w:rsidRDefault="00DA4677" w:rsidP="004A02F3">
            <w:pPr>
              <w:spacing w:before="6" w:after="0"/>
              <w:rPr>
                <w:highlight w:val="yellow"/>
              </w:rPr>
            </w:pPr>
          </w:p>
        </w:tc>
      </w:tr>
      <w:tr w:rsidR="00DA4677" w:rsidRPr="00EC6FFC" w:rsidTr="0097061B">
        <w:trPr>
          <w:cantSplit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77" w:rsidRPr="00EC6FFC" w:rsidRDefault="00DA4677" w:rsidP="004A02F3">
            <w:pPr>
              <w:widowControl w:val="0"/>
              <w:autoSpaceDE w:val="0"/>
              <w:autoSpaceDN w:val="0"/>
              <w:adjustRightInd w:val="0"/>
              <w:spacing w:beforeLines="30" w:before="72"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677" w:rsidRPr="00EC6FFC" w:rsidRDefault="00DA4677" w:rsidP="004A02F3">
            <w:pPr>
              <w:spacing w:beforeLines="30" w:before="72" w:after="0"/>
              <w:rPr>
                <w:highlight w:val="yellow"/>
              </w:rPr>
            </w:pPr>
          </w:p>
        </w:tc>
      </w:tr>
    </w:tbl>
    <w:p w:rsidR="00DA4677" w:rsidRPr="00AF0E4B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F0E4B">
        <w:rPr>
          <w:sz w:val="24"/>
          <w:szCs w:val="24"/>
          <w:lang w:eastAsia="ru-RU"/>
        </w:rPr>
        <w:t>Примечание:</w:t>
      </w:r>
    </w:p>
    <w:p w:rsidR="00DA4677" w:rsidRPr="00AF0E4B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0E4B">
        <w:rPr>
          <w:sz w:val="24"/>
          <w:szCs w:val="24"/>
          <w:lang w:eastAsia="ru-RU"/>
        </w:rPr>
        <w:t>* Органы исполнительной власти субъектов Российской Федерации, осуществляющие переданные полномочия Российской Федерации в сфере образования, выделенные жирным шрифтом, относятся к самостоятельным органам</w:t>
      </w:r>
      <w:r w:rsidR="00DD0BB0">
        <w:rPr>
          <w:sz w:val="24"/>
          <w:szCs w:val="24"/>
          <w:lang w:eastAsia="ru-RU"/>
        </w:rPr>
        <w:t>.</w:t>
      </w:r>
      <w:r w:rsidRPr="00AF0E4B">
        <w:rPr>
          <w:sz w:val="24"/>
          <w:szCs w:val="24"/>
          <w:lang w:eastAsia="ru-RU"/>
        </w:rPr>
        <w:t xml:space="preserve"> </w:t>
      </w:r>
    </w:p>
    <w:p w:rsidR="00DA4677" w:rsidRPr="00EC6FFC" w:rsidRDefault="00DA4677" w:rsidP="004F1E7F">
      <w:pPr>
        <w:pStyle w:val="3"/>
        <w:rPr>
          <w:highlight w:val="yellow"/>
        </w:rPr>
      </w:pPr>
    </w:p>
    <w:p w:rsidR="0060712D" w:rsidRPr="00601EA8" w:rsidRDefault="0060712D" w:rsidP="004F1E7F">
      <w:pPr>
        <w:pStyle w:val="3"/>
      </w:pPr>
    </w:p>
    <w:p w:rsidR="0060712D" w:rsidRPr="00BE2F2C" w:rsidRDefault="0060712D" w:rsidP="002912F7">
      <w:pPr>
        <w:spacing w:before="120"/>
        <w:jc w:val="center"/>
        <w:outlineLvl w:val="0"/>
        <w:rPr>
          <w:b/>
        </w:rPr>
      </w:pPr>
      <w:r>
        <w:rPr>
          <w:b/>
        </w:rPr>
        <w:br w:type="page"/>
      </w:r>
      <w:bookmarkStart w:id="3" w:name="_Toc475535809"/>
      <w:r w:rsidRPr="002E7149">
        <w:rPr>
          <w:b/>
        </w:rPr>
        <w:lastRenderedPageBreak/>
        <w:t xml:space="preserve">Раздел 1. Состояние нормативно-правового регулирования в </w:t>
      </w:r>
      <w:r w:rsidR="00596DA6" w:rsidRPr="002E7149">
        <w:rPr>
          <w:b/>
        </w:rPr>
        <w:t xml:space="preserve">сфере </w:t>
      </w:r>
      <w:r w:rsidRPr="002E7149">
        <w:rPr>
          <w:b/>
        </w:rPr>
        <w:t>лицензирования образовательной деятельности</w:t>
      </w:r>
      <w:bookmarkEnd w:id="3"/>
    </w:p>
    <w:p w:rsidR="00DA4677" w:rsidRPr="00CA014E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bookmarkStart w:id="4" w:name="_Toc381779665"/>
      <w:bookmarkEnd w:id="2"/>
      <w:r w:rsidRPr="00CA014E">
        <w:t>В 201</w:t>
      </w:r>
      <w:r w:rsidR="003A520B">
        <w:t>7</w:t>
      </w:r>
      <w:r w:rsidRPr="00CA014E">
        <w:t xml:space="preserve"> году при осуществлении лицензирования образовательной деятельности органы исполнительной власти субъектов Российской Федерации, осуществляющие переданное полномочие Российской Федерации по лицензированию образовательной деятельности (далее также – лицензирующие органы субъектов Российской Федерации), руководствовались следующими нормативными правовыми актами федерального законодательства:</w:t>
      </w:r>
    </w:p>
    <w:p w:rsidR="00DA4677" w:rsidRPr="00CA014E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A014E">
        <w:t>1) федеральными законами и кодексами:</w:t>
      </w:r>
    </w:p>
    <w:p w:rsidR="00DA4677" w:rsidRPr="00CA014E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A014E">
        <w:t>Гражданским кодексом Российской Федерации (часть первая) (Федеральный закон от 30 ноября 1994 г. № 51-ФЗ);</w:t>
      </w:r>
    </w:p>
    <w:p w:rsidR="00DA4677" w:rsidRPr="00CA014E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A014E">
        <w:t>Гражданским кодексом Российской Федерации (часть вторая) (Федеральный закон от 26 января 1996 г. № 14-ФЗ);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A014E">
        <w:t xml:space="preserve">Налоговым кодексом Российской Федерации (часть вторая) (Федеральный закон от 5 </w:t>
      </w:r>
      <w:r w:rsidRPr="00207227">
        <w:t>августа 2000 г. № 117-ФЗ);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Кодексом Российской Федерации об административных правонарушениях (Федеральный закон от 30 декабря 2001 г. № 195-ФЗ)</w:t>
      </w:r>
      <w:r w:rsidR="0059141F" w:rsidRPr="00207227">
        <w:t xml:space="preserve"> </w:t>
      </w:r>
      <w:r w:rsidR="0059141F" w:rsidRPr="00207227">
        <w:br/>
      </w:r>
      <w:r w:rsidRPr="00207227">
        <w:t>(далее – КоАП);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Законом Российской Федерации от 11 марта 1992 г. № 2487-</w:t>
      </w:r>
      <w:r w:rsidR="0059141F" w:rsidRPr="00207227">
        <w:rPr>
          <w:lang w:val="en-US"/>
        </w:rPr>
        <w:t>I</w:t>
      </w:r>
      <w:r w:rsidRPr="00207227">
        <w:t xml:space="preserve"> «О частной детективной и охранной деятельности в Российской Федерации» (далее - Закон Российской Федерации №</w:t>
      </w:r>
      <w:r w:rsidR="00B32ECE" w:rsidRPr="00207227">
        <w:t xml:space="preserve"> </w:t>
      </w:r>
      <w:r w:rsidRPr="00207227">
        <w:t>2487-</w:t>
      </w:r>
      <w:r w:rsidR="0059141F" w:rsidRPr="00207227">
        <w:rPr>
          <w:lang w:val="en-US"/>
        </w:rPr>
        <w:t>I</w:t>
      </w:r>
      <w:r w:rsidRPr="00207227">
        <w:t>);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Законом Российской Федерации от 21 июля 1993 г. № 5485-</w:t>
      </w:r>
      <w:r w:rsidR="0059141F" w:rsidRPr="00207227">
        <w:rPr>
          <w:lang w:val="en-US"/>
        </w:rPr>
        <w:t>I</w:t>
      </w:r>
      <w:r w:rsidR="00B801BD" w:rsidRPr="00207227">
        <w:t xml:space="preserve"> </w:t>
      </w:r>
      <w:r w:rsidRPr="00207227">
        <w:br/>
        <w:t>«О государственной тайне»;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Федеральным законом от 12 января 1996 г. № 7-ФЗ «О некоммерческих организациях»;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Федеральным законом от 21 июля 1997 г. № 122-ФЗ «О государственной регистрации прав на недвижимое имущество и сделок с ним»;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 xml:space="preserve">Федеральным законом от 26 сентября 1997 г. № 125-ФЗ «О свободе совести и о религиозных объединениях»; 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Федеральным законом от 30 марта 1999 г. № 52-ФЗ «О санитарно-эпидемиологическом благополучии населения»;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Федеральным законом от 27 июля 2006 г. № 152-ФЗ «О персональных данных»;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07227">
        <w:t>Федеральным законом от 27 июля 2006 г. № 149-ФЗ «Об информации, информационных технологиях и о защите информации»;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>Федеральным законом от 27 июля 2010 г. № 210-ФЗ «Об организации предоставления государственных и муниципальных услуг»</w:t>
      </w:r>
      <w:r w:rsidR="0059141F" w:rsidRPr="00207227">
        <w:t>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lastRenderedPageBreak/>
        <w:t>Федеральным законом от 4 мая 2011 г. № 99-ФЗ «О лицензировании отдельных видов деятельности» (далее – Федеральный закон № 99-ФЗ);</w:t>
      </w:r>
    </w:p>
    <w:p w:rsidR="00DA4677" w:rsidRPr="00207227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>Федеральным законом от 29 декабря 2012 г</w:t>
      </w:r>
      <w:r w:rsidR="0059141F" w:rsidRPr="00207227">
        <w:t>.</w:t>
      </w:r>
      <w:r w:rsidRPr="00207227">
        <w:t xml:space="preserve"> № 273-ФЗ </w:t>
      </w:r>
      <w:r w:rsidR="00B801BD" w:rsidRPr="00207227">
        <w:br/>
      </w:r>
      <w:r w:rsidRPr="00207227">
        <w:t>«Об образовании в Российской Федерации»;</w:t>
      </w:r>
    </w:p>
    <w:p w:rsidR="00DA4677" w:rsidRPr="00F3045E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>2) нормативными правовыми актами  Правительства Российской Федерации:</w:t>
      </w:r>
    </w:p>
    <w:p w:rsidR="00DA4677" w:rsidRPr="00F3045E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3045E">
        <w:t xml:space="preserve">постановлением Правительства Российской Федерации от 15 апреля </w:t>
      </w:r>
      <w:r w:rsidRPr="00F3045E">
        <w:br/>
        <w:t>1995 г.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тайны»;</w:t>
      </w:r>
    </w:p>
    <w:p w:rsidR="00DA4677" w:rsidRPr="00F3045E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3045E">
        <w:t xml:space="preserve">постановлением Правительства Российской Федерации от 23 ноября </w:t>
      </w:r>
      <w:r w:rsidRPr="00F3045E">
        <w:br/>
        <w:t>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периодичностью»;</w:t>
      </w:r>
    </w:p>
    <w:p w:rsidR="00DA4677" w:rsidRPr="00932124" w:rsidRDefault="00DA4677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 xml:space="preserve">постановлением Правительства Российской Федерации от 30 июня 2010 г. </w:t>
      </w:r>
      <w:r w:rsidRPr="00932124">
        <w:br/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32124">
        <w:t>контроля ежегодных планов проведения плановых проверок юридических лиц</w:t>
      </w:r>
      <w:proofErr w:type="gramEnd"/>
      <w:r w:rsidRPr="00932124">
        <w:t xml:space="preserve"> и индивидуальных предпринимателей»;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 xml:space="preserve">постановлением Правительства Российской Федерации от 21 ноября </w:t>
      </w:r>
      <w:r w:rsidRPr="00932124">
        <w:br/>
        <w:t>2011 г. № 957 «Об организации лицензирования отдельных видов деятельности»;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 xml:space="preserve">постановлением Правительства Российской Федерации от 25 июня 2012 г. </w:t>
      </w:r>
      <w:r w:rsidR="00B801BD">
        <w:br/>
      </w:r>
      <w:r w:rsidRPr="00932124"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 xml:space="preserve">постановлением Правительства Российской Федерации от 16 июля 2012 г. </w:t>
      </w:r>
      <w:r w:rsidRPr="00932124">
        <w:br/>
        <w:t>№ 722 «Об утверждении Правил предоставления документов по вопросам лицензирования в форме электронных документов»;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 xml:space="preserve">постановлением Правительства Российской Федерации от 15 декабря </w:t>
      </w:r>
      <w:r w:rsidRPr="00932124">
        <w:br/>
        <w:t>2012 г. № 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>постановлением Правительства Российской Федерации от 15 июля 2013 г.  № 594 «Об утверждении Положения о Федеральной службе по надзору в сфере образования и науки»;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 xml:space="preserve">постановлением Правительства Российской Федерации от 28 октября </w:t>
      </w:r>
      <w:r w:rsidRPr="00932124">
        <w:br/>
        <w:t>2013 г. № 966 «О лицензировании образовательной деятельности»;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lastRenderedPageBreak/>
        <w:t>постановлением Правительства Российской Федерации от 18 июня 2014 г. № 559 «Об утверждении Правил включения юридических лиц в реестр экспертных организаций»;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 xml:space="preserve">постановлением Правительства Российской Федерации от 10 июля 2014 г. </w:t>
      </w:r>
      <w:r w:rsidRPr="00932124">
        <w:br/>
        <w:t xml:space="preserve">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 </w:t>
      </w:r>
    </w:p>
    <w:p w:rsidR="00DA4677" w:rsidRPr="00932124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2124">
        <w:t>3) ведомственными нормативными правовыми актами:</w:t>
      </w:r>
    </w:p>
    <w:p w:rsidR="00DA4677" w:rsidRPr="004E57F1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31A7">
        <w:t xml:space="preserve">приказом Минэкономразвития России от 30 апреля 2009 г. № 141 </w:t>
      </w:r>
      <w:r w:rsidRPr="007A31A7">
        <w:br/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E3A71">
        <w:t xml:space="preserve"> </w:t>
      </w:r>
      <w:r w:rsidR="00BE3A71" w:rsidRPr="004E57F1">
        <w:t>(зарегистрирован Минюстом России 13 мая 2009 г., регистрационный № 13915)</w:t>
      </w:r>
      <w:r w:rsidRPr="004E57F1">
        <w:t>;</w:t>
      </w:r>
    </w:p>
    <w:p w:rsidR="00A12A06" w:rsidRPr="00207227" w:rsidRDefault="00A12A06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57F1">
        <w:t>приказом Министерства образования и науки Российской Федерации от</w:t>
      </w:r>
      <w:r w:rsidRPr="00A12A06">
        <w:t xml:space="preserve"> 14 июня 2013 г. </w:t>
      </w:r>
      <w:r w:rsidRPr="00207227"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BE3A71" w:rsidRPr="00207227">
        <w:t xml:space="preserve"> </w:t>
      </w:r>
      <w:r w:rsidR="00BE3A71" w:rsidRPr="00207227">
        <w:rPr>
          <w:rFonts w:eastAsia="Calibri"/>
          <w:lang w:eastAsia="ru-RU"/>
        </w:rPr>
        <w:t>(зарегистрирован Минюстом России 30 июля 2013 г., регистрационный № 29200)</w:t>
      </w:r>
      <w:r w:rsidRPr="00207227">
        <w:t>;</w:t>
      </w:r>
    </w:p>
    <w:p w:rsidR="00A12A06" w:rsidRPr="00207227" w:rsidRDefault="00A12A06" w:rsidP="00BE3A7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 xml:space="preserve">приказом Министерства образования и науки Российской Федерации </w:t>
      </w:r>
      <w:r w:rsidR="00BE3A71" w:rsidRPr="00207227">
        <w:br/>
      </w:r>
      <w:r w:rsidRPr="00207227">
        <w:t>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BE3A71" w:rsidRPr="00207227">
        <w:t xml:space="preserve"> </w:t>
      </w:r>
      <w:r w:rsidR="00BE3A71" w:rsidRPr="00207227">
        <w:rPr>
          <w:rFonts w:eastAsia="Calibri"/>
          <w:lang w:eastAsia="ru-RU"/>
        </w:rPr>
        <w:t xml:space="preserve">(зарегистрирован Минюстом России </w:t>
      </w:r>
      <w:r w:rsidR="00960572" w:rsidRPr="00207227">
        <w:rPr>
          <w:rFonts w:eastAsia="Calibri"/>
          <w:lang w:eastAsia="ru-RU"/>
        </w:rPr>
        <w:br/>
      </w:r>
      <w:r w:rsidR="00BE3A71" w:rsidRPr="00207227">
        <w:rPr>
          <w:rFonts w:eastAsia="Calibri"/>
          <w:lang w:eastAsia="ru-RU"/>
        </w:rPr>
        <w:t>20 августа 2013 г., регистрационный №</w:t>
      </w:r>
      <w:r w:rsidR="00BE3A71" w:rsidRPr="00207227">
        <w:rPr>
          <w:rFonts w:eastAsia="Calibri"/>
          <w:b/>
          <w:lang w:eastAsia="ru-RU"/>
        </w:rPr>
        <w:t> </w:t>
      </w:r>
      <w:r w:rsidR="00BE3A71" w:rsidRPr="00207227">
        <w:rPr>
          <w:rFonts w:eastAsia="Calibri"/>
          <w:lang w:eastAsia="ru-RU"/>
        </w:rPr>
        <w:t>29444)</w:t>
      </w:r>
      <w:r w:rsidRPr="00207227">
        <w:t>;</w:t>
      </w:r>
    </w:p>
    <w:p w:rsidR="00DA4677" w:rsidRPr="007A31A7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>приказом Министерства образования и науки Российской Федерации от 10 декабря 2013 г. № 1320 «Об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документам» (зарегистрирован Минюстом России 16 января 2014 г., регистрационный № 31031);</w:t>
      </w:r>
      <w:r w:rsidRPr="007A31A7">
        <w:t xml:space="preserve"> </w:t>
      </w:r>
    </w:p>
    <w:p w:rsidR="00A12A06" w:rsidRPr="007A31A7" w:rsidRDefault="00A12A06" w:rsidP="00A12A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31A7">
        <w:t>приказом Федеральной службы по надзору в сфере образования и науки от 18 апреля 2014 г. № 536 «Об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нему» (зарегистрирован Минюстом России 20 мая 2014 г., регистрационный № 32339);</w:t>
      </w:r>
    </w:p>
    <w:p w:rsidR="00A12A06" w:rsidRPr="00207227" w:rsidRDefault="00A12A06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12A06">
        <w:t xml:space="preserve">приказом Министерства образования и науки Российской Федерации </w:t>
      </w:r>
      <w:r w:rsidR="00B801BD">
        <w:br/>
      </w:r>
      <w:r w:rsidRPr="00A12A06">
        <w:t xml:space="preserve">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</w:t>
      </w:r>
      <w:r w:rsidRPr="00207227">
        <w:t>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28.09.2009 № 354, и специальностям среднего профессионального образования, перечень которых утвержден</w:t>
      </w:r>
      <w:proofErr w:type="gramEnd"/>
      <w:r w:rsidRPr="00207227">
        <w:t xml:space="preserve"> </w:t>
      </w:r>
      <w:r w:rsidRPr="00207227">
        <w:lastRenderedPageBreak/>
        <w:t xml:space="preserve">приказом Министерства образования и науки Российской Федерации </w:t>
      </w:r>
      <w:r w:rsidR="00B801BD" w:rsidRPr="00207227">
        <w:br/>
      </w:r>
      <w:r w:rsidRPr="00207227">
        <w:t>от 28.09.2009 № 355»</w:t>
      </w:r>
      <w:r w:rsidR="00960572" w:rsidRPr="00207227">
        <w:t xml:space="preserve"> </w:t>
      </w:r>
      <w:r w:rsidR="00960572" w:rsidRPr="00207227">
        <w:rPr>
          <w:rFonts w:eastAsia="Calibri"/>
          <w:lang w:eastAsia="ru-RU"/>
        </w:rPr>
        <w:t>(</w:t>
      </w:r>
      <w:proofErr w:type="gramStart"/>
      <w:r w:rsidR="00960572" w:rsidRPr="00207227">
        <w:rPr>
          <w:rFonts w:eastAsia="Calibri"/>
          <w:lang w:eastAsia="ru-RU"/>
        </w:rPr>
        <w:t>зарегистрирован</w:t>
      </w:r>
      <w:proofErr w:type="gramEnd"/>
      <w:r w:rsidR="00960572" w:rsidRPr="00207227">
        <w:rPr>
          <w:rFonts w:eastAsia="Calibri"/>
          <w:lang w:eastAsia="ru-RU"/>
        </w:rPr>
        <w:t xml:space="preserve"> Минюстом России 8 июля 2014 г., регистрационный № 33008)</w:t>
      </w:r>
      <w:r w:rsidRPr="00207227">
        <w:t>;</w:t>
      </w:r>
    </w:p>
    <w:p w:rsidR="00DA4677" w:rsidRPr="007A31A7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 xml:space="preserve">приказом Министерства образования и науки Российской Федерации </w:t>
      </w:r>
      <w:r w:rsidR="00B801BD" w:rsidRPr="00207227">
        <w:br/>
      </w:r>
      <w:r w:rsidRPr="00207227">
        <w:t xml:space="preserve">от 25 ноября 2014 г. № 1517 «Об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деятельности» (зарегистрирован Минюстом России 11 марта 2015 г., регистрационный </w:t>
      </w:r>
      <w:r w:rsidRPr="00207227">
        <w:br/>
        <w:t>№ 36401);</w:t>
      </w:r>
    </w:p>
    <w:p w:rsidR="00DA4677" w:rsidRDefault="00DA4677" w:rsidP="00DA46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31A7">
        <w:t>приказом Федеральной службы по надзору в сфере образования и науки от 12 марта 2015 г. № 279 «Об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деятельности» (зарегистрирован Минюстом России</w:t>
      </w:r>
      <w:r w:rsidRPr="007A31A7" w:rsidDel="00F35497">
        <w:t xml:space="preserve"> </w:t>
      </w:r>
      <w:r w:rsidRPr="007A31A7">
        <w:t>30 апреля 201</w:t>
      </w:r>
      <w:r>
        <w:t>5 г.,  регистрационный № 37077);</w:t>
      </w:r>
    </w:p>
    <w:p w:rsidR="00A12A06" w:rsidRPr="007A31A7" w:rsidRDefault="00A12A06" w:rsidP="00A12A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31A7">
        <w:t xml:space="preserve">приказом Министерства образования и науки Российской Федерации </w:t>
      </w:r>
      <w:r w:rsidR="00B801BD">
        <w:br/>
      </w:r>
      <w:r w:rsidRPr="007A31A7">
        <w:t>от 17 марта 2015 г. № 244 «Об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деятельности» (зарегистрирован Минюстом России 14 июля 2015 г., регистрационный № 38014)</w:t>
      </w:r>
      <w:r>
        <w:t>.</w:t>
      </w:r>
    </w:p>
    <w:p w:rsidR="00DA4677" w:rsidRPr="007A31A7" w:rsidRDefault="00DA4677" w:rsidP="00DA4677">
      <w:pPr>
        <w:autoSpaceDE w:val="0"/>
        <w:autoSpaceDN w:val="0"/>
        <w:adjustRightInd w:val="0"/>
        <w:spacing w:after="0" w:line="240" w:lineRule="auto"/>
        <w:ind w:left="-142" w:firstLine="709"/>
        <w:jc w:val="both"/>
      </w:pPr>
      <w:r w:rsidRPr="007A31A7">
        <w:t xml:space="preserve">Помимо федерального законодательства  деятельность лицензирующих органов субъектов Российской Федерации была регламентирована </w:t>
      </w:r>
      <w:r w:rsidR="005C5C2A">
        <w:t>55</w:t>
      </w:r>
      <w:r w:rsidRPr="007A31A7">
        <w:t xml:space="preserve"> законами субъектов Российской Федерации, 20</w:t>
      </w:r>
      <w:r>
        <w:t>0</w:t>
      </w:r>
      <w:r w:rsidRPr="007A31A7">
        <w:t xml:space="preserve"> нормативными правовыми актами высших должностных лиц субъектов Российской Федерации (в том числе</w:t>
      </w:r>
      <w:r w:rsidR="005C5C2A">
        <w:t xml:space="preserve"> 33</w:t>
      </w:r>
      <w:r w:rsidRPr="007A31A7">
        <w:t xml:space="preserve"> </w:t>
      </w:r>
      <w:r>
        <w:t>административными</w:t>
      </w:r>
      <w:r w:rsidRPr="007A31A7">
        <w:t xml:space="preserve"> регламент</w:t>
      </w:r>
      <w:r>
        <w:t>ами</w:t>
      </w:r>
      <w:r w:rsidRPr="007A31A7">
        <w:t xml:space="preserve">) и </w:t>
      </w:r>
      <w:r w:rsidR="005C5C2A">
        <w:t>546</w:t>
      </w:r>
      <w:r w:rsidRPr="007A31A7">
        <w:t xml:space="preserve"> нормативными правовыми актами лицензирующих органов.  </w:t>
      </w:r>
    </w:p>
    <w:p w:rsidR="00DA4677" w:rsidRPr="00243AB2" w:rsidRDefault="00DA4677" w:rsidP="00DA4677">
      <w:pPr>
        <w:autoSpaceDE w:val="0"/>
        <w:autoSpaceDN w:val="0"/>
        <w:adjustRightInd w:val="0"/>
        <w:spacing w:after="0" w:line="240" w:lineRule="auto"/>
        <w:ind w:left="-142" w:firstLine="851"/>
        <w:jc w:val="both"/>
      </w:pPr>
      <w:r w:rsidRPr="00243AB2">
        <w:t xml:space="preserve">Принимаемые региональные нормативные правовые акты в установленном порядке </w:t>
      </w:r>
      <w:r w:rsidR="007906A6">
        <w:t xml:space="preserve">своевременно </w:t>
      </w:r>
      <w:r w:rsidRPr="00243AB2">
        <w:t xml:space="preserve">направлялись на экспертизу на предмет выявления признаков их </w:t>
      </w:r>
      <w:proofErr w:type="spellStart"/>
      <w:r w:rsidRPr="00243AB2">
        <w:t>коррупциогенности</w:t>
      </w:r>
      <w:proofErr w:type="spellEnd"/>
      <w:r w:rsidRPr="00243AB2">
        <w:t>.</w:t>
      </w:r>
    </w:p>
    <w:p w:rsidR="004F4985" w:rsidRDefault="00DA4677" w:rsidP="00DA4677">
      <w:pPr>
        <w:autoSpaceDE w:val="0"/>
        <w:autoSpaceDN w:val="0"/>
        <w:adjustRightInd w:val="0"/>
        <w:spacing w:after="0" w:line="240" w:lineRule="auto"/>
        <w:ind w:left="-142" w:firstLine="709"/>
        <w:jc w:val="both"/>
      </w:pPr>
      <w:r w:rsidRPr="00243AB2">
        <w:t>Изданные нормативные правовые акты  были опубликованы в средствах массовой информации, размещены на официальных сайтах лицензирующих органов субъектов Российской Федерации в информационно-телекоммуникационной сети «Интернет» (далее – сеть «Интернет»).</w:t>
      </w:r>
    </w:p>
    <w:p w:rsidR="00F20FCE" w:rsidRDefault="00F20FCE" w:rsidP="00DA4677">
      <w:pPr>
        <w:autoSpaceDE w:val="0"/>
        <w:autoSpaceDN w:val="0"/>
        <w:adjustRightInd w:val="0"/>
        <w:spacing w:after="0" w:line="240" w:lineRule="auto"/>
        <w:ind w:left="-142" w:firstLine="709"/>
        <w:jc w:val="both"/>
      </w:pPr>
    </w:p>
    <w:p w:rsidR="00552E28" w:rsidRDefault="00552E28">
      <w:pPr>
        <w:spacing w:after="0" w:line="240" w:lineRule="auto"/>
        <w:rPr>
          <w:b/>
        </w:rPr>
      </w:pPr>
      <w:bookmarkStart w:id="5" w:name="_Toc475535810"/>
      <w:bookmarkEnd w:id="4"/>
      <w:r>
        <w:rPr>
          <w:b/>
        </w:rPr>
        <w:br w:type="page"/>
      </w:r>
    </w:p>
    <w:p w:rsidR="00642698" w:rsidRPr="00642698" w:rsidRDefault="00642698" w:rsidP="002912F7">
      <w:pPr>
        <w:spacing w:before="120"/>
        <w:jc w:val="center"/>
        <w:outlineLvl w:val="0"/>
        <w:rPr>
          <w:b/>
        </w:rPr>
      </w:pPr>
      <w:r w:rsidRPr="00642698">
        <w:rPr>
          <w:b/>
        </w:rPr>
        <w:lastRenderedPageBreak/>
        <w:t xml:space="preserve">Раздел 2. Организация и осуществление лицензирования </w:t>
      </w:r>
      <w:r w:rsidR="002912F7">
        <w:rPr>
          <w:b/>
        </w:rPr>
        <w:br/>
      </w:r>
      <w:r w:rsidRPr="00642698">
        <w:rPr>
          <w:b/>
        </w:rPr>
        <w:t>образовательной деятельности</w:t>
      </w:r>
      <w:bookmarkEnd w:id="5"/>
    </w:p>
    <w:p w:rsidR="00BB0FEE" w:rsidRPr="00D7476C" w:rsidRDefault="00BB0FEE" w:rsidP="00C42343">
      <w:pPr>
        <w:spacing w:before="200" w:line="240" w:lineRule="auto"/>
        <w:ind w:firstLine="709"/>
        <w:jc w:val="both"/>
        <w:outlineLvl w:val="1"/>
        <w:rPr>
          <w:b/>
        </w:rPr>
      </w:pPr>
      <w:bookmarkStart w:id="6" w:name="_Toc475535811"/>
      <w:bookmarkStart w:id="7" w:name="_Toc381779668"/>
      <w:r w:rsidRPr="00982838">
        <w:rPr>
          <w:b/>
        </w:rPr>
        <w:t>а) сведения об организационной структуре лицензирующих органов и о распределении полномочий между структурными подразделениями, осуществляющими лицензирование</w:t>
      </w:r>
      <w:bookmarkEnd w:id="6"/>
    </w:p>
    <w:p w:rsidR="00642698" w:rsidRPr="00CA1E47" w:rsidRDefault="00642698" w:rsidP="00DF3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1E47">
        <w:t xml:space="preserve">В соответствии с </w:t>
      </w:r>
      <w:hyperlink r:id="rId9" w:history="1">
        <w:r w:rsidRPr="00CA1E47">
          <w:t>пунктом 2 части 8 статьи 7</w:t>
        </w:r>
      </w:hyperlink>
      <w:r w:rsidRPr="00CA1E47">
        <w:t xml:space="preserve"> Федерального закона </w:t>
      </w:r>
      <w:r w:rsidRPr="00CA1E47">
        <w:br/>
        <w:t xml:space="preserve">№ 273-ФЗ </w:t>
      </w:r>
      <w:r w:rsidRPr="00CA1E47">
        <w:rPr>
          <w:lang w:eastAsia="ru-RU"/>
        </w:rPr>
        <w:t>структуру орган</w:t>
      </w:r>
      <w:r w:rsidR="00570B95">
        <w:rPr>
          <w:lang w:eastAsia="ru-RU"/>
        </w:rPr>
        <w:t xml:space="preserve">а </w:t>
      </w:r>
      <w:r w:rsidRPr="00CA1E47">
        <w:rPr>
          <w:lang w:eastAsia="ru-RU"/>
        </w:rPr>
        <w:t xml:space="preserve"> государственной власти субъекта Российской Федерации, осуществляющ</w:t>
      </w:r>
      <w:r w:rsidR="00570B95">
        <w:rPr>
          <w:lang w:eastAsia="ru-RU"/>
        </w:rPr>
        <w:t>его</w:t>
      </w:r>
      <w:r w:rsidRPr="00CA1E47">
        <w:rPr>
          <w:lang w:eastAsia="ru-RU"/>
        </w:rPr>
        <w:t xml:space="preserve"> переданные полномочия</w:t>
      </w:r>
      <w:r w:rsidRPr="00CA1E47">
        <w:t xml:space="preserve"> Российской Федерации в сфере образования</w:t>
      </w:r>
      <w:r w:rsidRPr="00CA1E47">
        <w:rPr>
          <w:lang w:eastAsia="ru-RU"/>
        </w:rPr>
        <w:t xml:space="preserve">, утверждает </w:t>
      </w:r>
      <w:r w:rsidRPr="00CA1E47"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</w:t>
      </w:r>
      <w:r w:rsidR="00BC1C0A">
        <w:t xml:space="preserve"> </w:t>
      </w:r>
      <w:r w:rsidRPr="00CA1E47">
        <w:rPr>
          <w:lang w:eastAsia="ru-RU"/>
        </w:rPr>
        <w:t>по согласованию с федеральным органом государственной власти, осуществляющим функции по контролю и надзору в сфере образования.</w:t>
      </w:r>
      <w:r w:rsidR="00DF3D8D" w:rsidRPr="00CA1E47">
        <w:rPr>
          <w:lang w:eastAsia="ru-RU"/>
        </w:rPr>
        <w:t xml:space="preserve"> </w:t>
      </w:r>
      <w:proofErr w:type="gramEnd"/>
    </w:p>
    <w:p w:rsidR="00642698" w:rsidRPr="009B33CD" w:rsidRDefault="00DA4677" w:rsidP="00DF3D8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33CD">
        <w:t>В</w:t>
      </w:r>
      <w:r w:rsidR="00642698" w:rsidRPr="009B33CD">
        <w:t xml:space="preserve"> 201</w:t>
      </w:r>
      <w:r w:rsidR="00C24FEB" w:rsidRPr="009B33CD">
        <w:t>7</w:t>
      </w:r>
      <w:r w:rsidR="00642698" w:rsidRPr="009B33CD">
        <w:t xml:space="preserve"> год</w:t>
      </w:r>
      <w:r w:rsidRPr="009B33CD">
        <w:t>у</w:t>
      </w:r>
      <w:r w:rsidR="00642698" w:rsidRPr="009B33CD">
        <w:t xml:space="preserve"> </w:t>
      </w:r>
      <w:r w:rsidR="007906A6" w:rsidRPr="009B33CD">
        <w:t>лицензирование образовательной деятельности</w:t>
      </w:r>
      <w:r w:rsidR="00642698" w:rsidRPr="009B33CD">
        <w:t xml:space="preserve"> осуществлял</w:t>
      </w:r>
      <w:r w:rsidR="007906A6" w:rsidRPr="009B33CD">
        <w:t>о</w:t>
      </w:r>
      <w:r w:rsidR="00642698" w:rsidRPr="009B33CD">
        <w:t>сь:</w:t>
      </w:r>
    </w:p>
    <w:p w:rsidR="00642698" w:rsidRPr="009B33CD" w:rsidRDefault="00642698" w:rsidP="00DF3D8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33CD">
        <w:t>в 7</w:t>
      </w:r>
      <w:r w:rsidR="00A917A5" w:rsidRPr="009B33CD">
        <w:t>9</w:t>
      </w:r>
      <w:r w:rsidRPr="009B33CD">
        <w:t xml:space="preserve"> (9</w:t>
      </w:r>
      <w:r w:rsidR="00A917A5" w:rsidRPr="009B33CD">
        <w:t>2</w:t>
      </w:r>
      <w:r w:rsidRPr="009B33CD">
        <w:t>,</w:t>
      </w:r>
      <w:r w:rsidR="00A917A5" w:rsidRPr="009B33CD">
        <w:t>9</w:t>
      </w:r>
      <w:r w:rsidRPr="009B33CD">
        <w:t>%) с</w:t>
      </w:r>
      <w:r w:rsidR="009B33CD">
        <w:t xml:space="preserve">убъектах Российской Федерации – </w:t>
      </w:r>
      <w:r w:rsidRPr="009B33CD">
        <w:t>органами государственной власти, осуществляющими государственное управление в сфере образования (</w:t>
      </w:r>
      <w:r w:rsidR="00A917A5" w:rsidRPr="009B33CD">
        <w:t>53</w:t>
      </w:r>
      <w:r w:rsidRPr="009B33CD">
        <w:t xml:space="preserve"> министерствами, 18 департаментами,</w:t>
      </w:r>
      <w:r w:rsidR="00DA4677" w:rsidRPr="009B33CD">
        <w:t xml:space="preserve"> </w:t>
      </w:r>
      <w:r w:rsidR="00A917A5" w:rsidRPr="009B33CD">
        <w:t>3</w:t>
      </w:r>
      <w:r w:rsidR="00DA4677" w:rsidRPr="009B33CD">
        <w:t xml:space="preserve"> управлениями, </w:t>
      </w:r>
      <w:r w:rsidR="00B801BD" w:rsidRPr="009B33CD">
        <w:br/>
      </w:r>
      <w:r w:rsidR="00982838">
        <w:t>5 комитетами)</w:t>
      </w:r>
      <w:r w:rsidR="00DA4677" w:rsidRPr="009B33CD">
        <w:t>;</w:t>
      </w:r>
    </w:p>
    <w:p w:rsidR="00DA4677" w:rsidRPr="009B33CD" w:rsidRDefault="00642698" w:rsidP="00DA4677">
      <w:pPr>
        <w:spacing w:after="0" w:line="240" w:lineRule="auto"/>
        <w:ind w:firstLine="709"/>
        <w:contextualSpacing/>
        <w:jc w:val="both"/>
      </w:pPr>
      <w:r w:rsidRPr="009B33CD">
        <w:t xml:space="preserve">в </w:t>
      </w:r>
      <w:r w:rsidR="00A917A5" w:rsidRPr="009B33CD">
        <w:t>6</w:t>
      </w:r>
      <w:r w:rsidRPr="009B33CD">
        <w:t xml:space="preserve"> (</w:t>
      </w:r>
      <w:r w:rsidR="00A917A5" w:rsidRPr="009B33CD">
        <w:t>7,1</w:t>
      </w:r>
      <w:r w:rsidRPr="009B33CD">
        <w:t xml:space="preserve">%) субъектах Российской Федерации </w:t>
      </w:r>
      <w:r w:rsidR="009B33CD">
        <w:t>–</w:t>
      </w:r>
      <w:r w:rsidRPr="009B33CD">
        <w:t xml:space="preserve"> самостоятельными органами государственной власти субъектов Российской Федерации (1 управлением, 1 комитетом, </w:t>
      </w:r>
      <w:r w:rsidR="00A917A5" w:rsidRPr="009B33CD">
        <w:t>4</w:t>
      </w:r>
      <w:r w:rsidRPr="009B33CD">
        <w:t xml:space="preserve"> службами)</w:t>
      </w:r>
      <w:r w:rsidR="00DA4677" w:rsidRPr="009B33CD">
        <w:t xml:space="preserve">. </w:t>
      </w:r>
    </w:p>
    <w:p w:rsidR="00642698" w:rsidRPr="00642698" w:rsidRDefault="00642698" w:rsidP="00C42343">
      <w:pPr>
        <w:spacing w:after="0" w:line="240" w:lineRule="auto"/>
        <w:ind w:firstLine="709"/>
        <w:jc w:val="both"/>
      </w:pPr>
      <w:r w:rsidRPr="00AF346A">
        <w:t>В 201</w:t>
      </w:r>
      <w:r w:rsidR="00AF346A" w:rsidRPr="00AF346A">
        <w:t>7</w:t>
      </w:r>
      <w:r w:rsidRPr="00AF346A">
        <w:t xml:space="preserve"> году в ряде субъектов Российской Федерации продолжилась оптимизация структур органов исполнительной власти, осуще</w:t>
      </w:r>
      <w:r w:rsidR="0097061B" w:rsidRPr="00AF346A">
        <w:t xml:space="preserve">ствляющих </w:t>
      </w:r>
      <w:r w:rsidR="00DD0BB0">
        <w:t>переданные полномочия Российской Федерации в сфере образования</w:t>
      </w:r>
      <w:r w:rsidR="00C42343" w:rsidRPr="00AF346A">
        <w:t>:</w:t>
      </w:r>
      <w:r w:rsidRPr="00AF346A">
        <w:t xml:space="preserve"> </w:t>
      </w:r>
      <w:r w:rsidR="00211F28">
        <w:t>9</w:t>
      </w:r>
      <w:r w:rsidRPr="00AF346A">
        <w:t xml:space="preserve"> субъект</w:t>
      </w:r>
      <w:r w:rsidR="00AF346A" w:rsidRPr="00AF346A">
        <w:t>ов</w:t>
      </w:r>
      <w:r w:rsidR="0097061B" w:rsidRPr="00AF346A">
        <w:t xml:space="preserve"> Российской Федерации (</w:t>
      </w:r>
      <w:r w:rsidR="00211F28">
        <w:t>10,6</w:t>
      </w:r>
      <w:r w:rsidRPr="00AF346A">
        <w:t>%</w:t>
      </w:r>
      <w:r w:rsidR="0097061B" w:rsidRPr="00AF346A">
        <w:t>)</w:t>
      </w:r>
      <w:r w:rsidRPr="00AF346A">
        <w:t xml:space="preserve"> согласовал</w:t>
      </w:r>
      <w:r w:rsidR="009B33CD">
        <w:t>и</w:t>
      </w:r>
      <w:r w:rsidRPr="00AF346A">
        <w:t xml:space="preserve"> в Рособрнадзоре изменения структур министерств, департаментов, комитетов, управлений</w:t>
      </w:r>
      <w:r w:rsidR="00C42343" w:rsidRPr="00AF346A">
        <w:t>.</w:t>
      </w:r>
      <w:r w:rsidR="00C42343">
        <w:t xml:space="preserve"> </w:t>
      </w:r>
      <w:r w:rsidRPr="00642698">
        <w:t xml:space="preserve"> </w:t>
      </w:r>
    </w:p>
    <w:p w:rsidR="00654FC2" w:rsidRPr="00642698" w:rsidRDefault="00654FC2" w:rsidP="00807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42698" w:rsidRPr="00642698" w:rsidRDefault="00642698" w:rsidP="00C42343">
      <w:pPr>
        <w:spacing w:before="200" w:line="240" w:lineRule="auto"/>
        <w:ind w:firstLine="709"/>
        <w:jc w:val="both"/>
        <w:outlineLvl w:val="1"/>
        <w:rPr>
          <w:b/>
        </w:rPr>
      </w:pPr>
      <w:bookmarkStart w:id="8" w:name="_Toc475535812"/>
      <w:r w:rsidRPr="00642698">
        <w:rPr>
          <w:b/>
        </w:rPr>
        <w:t>б) сведения об организации и осуществлении лицензирования образовательной деятельности, в том числе в электронной форме</w:t>
      </w:r>
      <w:bookmarkEnd w:id="8"/>
    </w:p>
    <w:p w:rsidR="00F01806" w:rsidRPr="00CA1E47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1E47">
        <w:rPr>
          <w:lang w:eastAsia="ru-RU"/>
        </w:rPr>
        <w:t xml:space="preserve">Лицензирование образовательной деятельности организаций, осуществляющих образовательную деятельность на территории субъекта Российской Федерации </w:t>
      </w:r>
      <w:r>
        <w:rPr>
          <w:lang w:eastAsia="ru-RU"/>
        </w:rPr>
        <w:t xml:space="preserve">   </w:t>
      </w:r>
      <w:r w:rsidRPr="00CA1E47">
        <w:rPr>
          <w:lang w:eastAsia="ru-RU"/>
        </w:rPr>
        <w:t xml:space="preserve">(за исключением организаций, указанных в </w:t>
      </w:r>
      <w:hyperlink r:id="rId10" w:history="1">
        <w:r w:rsidRPr="00CA1E47">
          <w:rPr>
            <w:lang w:eastAsia="ru-RU"/>
          </w:rPr>
          <w:t>пункте 7 части 1 статьи 6</w:t>
        </w:r>
      </w:hyperlink>
      <w:r w:rsidRPr="00CA1E47">
        <w:rPr>
          <w:lang w:eastAsia="ru-RU"/>
        </w:rPr>
        <w:t xml:space="preserve">  Федерального закона № 273-ФЗ), относится к  полномочиям Российской Федерации в сфере образования, переданным для осуществления органам государственной власти субъектов Российской Федерации.</w:t>
      </w:r>
    </w:p>
    <w:p w:rsidR="00F01806" w:rsidRPr="00960572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C5DDC">
        <w:rPr>
          <w:rFonts w:ascii="Times New Roman CYR" w:hAnsi="Times New Roman CYR" w:cs="Times New Roman CYR"/>
        </w:rPr>
        <w:t>Согласно сведениям, представленным в  докладах о лицензировании образовательной деятельности,  и сведениям по форме федерального статистического наблюдения № 1-лицензирование, в</w:t>
      </w:r>
      <w:r w:rsidRPr="00AC5DDC">
        <w:t xml:space="preserve"> 201</w:t>
      </w:r>
      <w:r w:rsidR="003A520B">
        <w:t>7</w:t>
      </w:r>
      <w:r w:rsidRPr="00AC5DDC">
        <w:t xml:space="preserve"> году </w:t>
      </w:r>
      <w:r w:rsidRPr="00AC5DDC">
        <w:rPr>
          <w:rFonts w:ascii="Times New Roman CYR" w:hAnsi="Times New Roman CYR" w:cs="Times New Roman CYR"/>
        </w:rPr>
        <w:lastRenderedPageBreak/>
        <w:t>лицензирующими органами субъектов Российской Федерации</w:t>
      </w:r>
      <w:r w:rsidRPr="00AC5DDC">
        <w:t xml:space="preserve"> был</w:t>
      </w:r>
      <w:r>
        <w:t>и</w:t>
      </w:r>
      <w:r w:rsidRPr="00AC5DDC">
        <w:t xml:space="preserve"> рассмотрен</w:t>
      </w:r>
      <w:r>
        <w:t>ы</w:t>
      </w:r>
      <w:r w:rsidRPr="00AC5DDC">
        <w:t xml:space="preserve"> </w:t>
      </w:r>
      <w:r>
        <w:t>26587</w:t>
      </w:r>
      <w:r w:rsidRPr="00AC5DDC">
        <w:t xml:space="preserve"> заявлений,</w:t>
      </w:r>
      <w:r w:rsidRPr="00AC5DDC">
        <w:rPr>
          <w:rFonts w:ascii="Times New Roman CYR" w:hAnsi="Times New Roman CYR" w:cs="Times New Roman CYR"/>
        </w:rPr>
        <w:t xml:space="preserve"> что на </w:t>
      </w:r>
      <w:r>
        <w:rPr>
          <w:rFonts w:ascii="Times New Roman CYR" w:hAnsi="Times New Roman CYR" w:cs="Times New Roman CYR"/>
        </w:rPr>
        <w:t>46,7</w:t>
      </w:r>
      <w:r w:rsidRPr="00AC5DDC">
        <w:rPr>
          <w:rFonts w:ascii="Times New Roman CYR" w:hAnsi="Times New Roman CYR" w:cs="Times New Roman CYR"/>
        </w:rPr>
        <w:t xml:space="preserve">% </w:t>
      </w:r>
      <w:r>
        <w:rPr>
          <w:rFonts w:ascii="Times New Roman CYR" w:hAnsi="Times New Roman CYR" w:cs="Times New Roman CYR"/>
        </w:rPr>
        <w:t>меньше</w:t>
      </w:r>
      <w:r w:rsidRPr="00AC5DDC">
        <w:rPr>
          <w:rFonts w:ascii="Times New Roman CYR" w:hAnsi="Times New Roman CYR" w:cs="Times New Roman CYR"/>
        </w:rPr>
        <w:t>, чем в  201</w:t>
      </w:r>
      <w:r>
        <w:rPr>
          <w:rFonts w:ascii="Times New Roman CYR" w:hAnsi="Times New Roman CYR" w:cs="Times New Roman CYR"/>
        </w:rPr>
        <w:t xml:space="preserve">6 </w:t>
      </w:r>
      <w:r w:rsidRPr="00AC5DDC">
        <w:rPr>
          <w:rFonts w:ascii="Times New Roman CYR" w:hAnsi="Times New Roman CYR" w:cs="Times New Roman CYR"/>
        </w:rPr>
        <w:t>году (в 201</w:t>
      </w:r>
      <w:r>
        <w:rPr>
          <w:rFonts w:ascii="Times New Roman CYR" w:hAnsi="Times New Roman CYR" w:cs="Times New Roman CYR"/>
        </w:rPr>
        <w:t xml:space="preserve">6 </w:t>
      </w:r>
      <w:r w:rsidRPr="00AC5DDC">
        <w:rPr>
          <w:rFonts w:ascii="Times New Roman CYR" w:hAnsi="Times New Roman CYR" w:cs="Times New Roman CYR"/>
        </w:rPr>
        <w:t xml:space="preserve">году - </w:t>
      </w:r>
      <w:r>
        <w:rPr>
          <w:rFonts w:ascii="Times New Roman CYR" w:hAnsi="Times New Roman CYR" w:cs="Times New Roman CYR"/>
        </w:rPr>
        <w:t>49836</w:t>
      </w:r>
      <w:r w:rsidRPr="00AC5DDC">
        <w:rPr>
          <w:rFonts w:ascii="Times New Roman CYR" w:hAnsi="Times New Roman CYR" w:cs="Times New Roman CYR"/>
        </w:rPr>
        <w:t>) (таб</w:t>
      </w:r>
      <w:r>
        <w:rPr>
          <w:rFonts w:ascii="Times New Roman CYR" w:hAnsi="Times New Roman CYR" w:cs="Times New Roman CYR"/>
        </w:rPr>
        <w:t xml:space="preserve">лица </w:t>
      </w:r>
      <w:r w:rsidRPr="00AC5DDC">
        <w:rPr>
          <w:rFonts w:ascii="Times New Roman CYR" w:hAnsi="Times New Roman CYR" w:cs="Times New Roman CYR"/>
        </w:rPr>
        <w:t>1</w:t>
      </w:r>
      <w:r w:rsidRPr="00960572">
        <w:rPr>
          <w:rFonts w:ascii="Times New Roman CYR" w:hAnsi="Times New Roman CYR" w:cs="Times New Roman CYR"/>
        </w:rPr>
        <w:t xml:space="preserve">).  </w:t>
      </w:r>
    </w:p>
    <w:p w:rsidR="00F01806" w:rsidRPr="00CA1E47" w:rsidRDefault="00F01806" w:rsidP="009B5779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</w:rPr>
        <w:t>Из общего числа рассмотренных заявлений</w:t>
      </w:r>
      <w:r w:rsidRPr="00CA1E47">
        <w:t>:</w:t>
      </w:r>
    </w:p>
    <w:p w:rsidR="00640213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A1E47">
        <w:t>на получение лицензии –</w:t>
      </w:r>
      <w:r>
        <w:t xml:space="preserve"> 4038 </w:t>
      </w:r>
      <w:r w:rsidRPr="00CA1E47">
        <w:t>заявлени</w:t>
      </w:r>
      <w:r>
        <w:t>й</w:t>
      </w:r>
      <w:r w:rsidRPr="00CA1E47">
        <w:t xml:space="preserve"> </w:t>
      </w:r>
      <w:r w:rsidRPr="00DE56C1">
        <w:t>(</w:t>
      </w:r>
      <w:r>
        <w:t>15,2</w:t>
      </w:r>
      <w:r w:rsidRPr="00DE56C1">
        <w:t>%);</w:t>
      </w:r>
      <w:r>
        <w:t xml:space="preserve"> </w:t>
      </w:r>
    </w:p>
    <w:p w:rsidR="00640213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A1E47">
        <w:t>на переоформление лицензии –</w:t>
      </w:r>
      <w:r>
        <w:t xml:space="preserve"> 21011</w:t>
      </w:r>
      <w:r w:rsidRPr="00CA1E47">
        <w:t xml:space="preserve"> заявлени</w:t>
      </w:r>
      <w:r>
        <w:t>й</w:t>
      </w:r>
      <w:r w:rsidRPr="00CA1E47">
        <w:t xml:space="preserve"> (</w:t>
      </w:r>
      <w:r>
        <w:t>79</w:t>
      </w:r>
      <w:r w:rsidRPr="00DE56C1">
        <w:t>%);</w:t>
      </w:r>
      <w:r>
        <w:t xml:space="preserve"> </w:t>
      </w:r>
    </w:p>
    <w:p w:rsidR="00640213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A1E47">
        <w:t>о прекращении действия лицензии –</w:t>
      </w:r>
      <w:r>
        <w:t xml:space="preserve"> 1353</w:t>
      </w:r>
      <w:r w:rsidRPr="00CA1E47">
        <w:t xml:space="preserve"> </w:t>
      </w:r>
      <w:r w:rsidRPr="00DE56C1">
        <w:t>заявлений (</w:t>
      </w:r>
      <w:r>
        <w:t>5,1</w:t>
      </w:r>
      <w:r w:rsidRPr="00DE56C1">
        <w:t>%);</w:t>
      </w:r>
      <w:r>
        <w:t xml:space="preserve"> </w:t>
      </w:r>
    </w:p>
    <w:p w:rsidR="00F01806" w:rsidRDefault="00F01806" w:rsidP="00960572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A1E47">
        <w:t xml:space="preserve">о выдаче дубликата лицензии – </w:t>
      </w:r>
      <w:r>
        <w:t>185</w:t>
      </w:r>
      <w:r w:rsidRPr="00CA1E47">
        <w:t xml:space="preserve"> заявлени</w:t>
      </w:r>
      <w:r>
        <w:t>я</w:t>
      </w:r>
      <w:r w:rsidRPr="00CA1E47">
        <w:t xml:space="preserve"> </w:t>
      </w:r>
      <w:r>
        <w:t>(0</w:t>
      </w:r>
      <w:r w:rsidRPr="00207227">
        <w:t>,7%) (рис. 1, таблица 1).</w:t>
      </w:r>
    </w:p>
    <w:p w:rsidR="00960572" w:rsidRPr="00CA1E47" w:rsidRDefault="00960572" w:rsidP="00960572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01806" w:rsidRPr="00642698" w:rsidRDefault="00F01806" w:rsidP="00F018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highlight w:val="green"/>
        </w:rPr>
      </w:pPr>
      <w:r>
        <w:rPr>
          <w:noProof/>
          <w:lang w:eastAsia="ru-RU"/>
        </w:rPr>
        <w:drawing>
          <wp:inline distT="0" distB="0" distL="0" distR="0" wp14:anchorId="1385BC49" wp14:editId="0C94F924">
            <wp:extent cx="5263117" cy="2934586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1806" w:rsidRPr="00CA1E47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Рисунок 1</w:t>
      </w:r>
      <w:r w:rsidRPr="00CA1E47">
        <w:rPr>
          <w:rFonts w:ascii="Times New Roman CYR" w:hAnsi="Times New Roman CYR" w:cs="Times New Roman CYR"/>
          <w:sz w:val="24"/>
          <w:szCs w:val="24"/>
        </w:rPr>
        <w:t>. Сведения о рассмотренных заявлениях в 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Pr="00CA1E47">
        <w:rPr>
          <w:rFonts w:ascii="Times New Roman CYR" w:hAnsi="Times New Roman CYR" w:cs="Times New Roman CYR"/>
          <w:sz w:val="24"/>
          <w:szCs w:val="24"/>
        </w:rPr>
        <w:t xml:space="preserve"> году</w:t>
      </w:r>
    </w:p>
    <w:p w:rsidR="00F01806" w:rsidRDefault="00F01806" w:rsidP="00F01806">
      <w:pPr>
        <w:jc w:val="right"/>
        <w:rPr>
          <w:sz w:val="24"/>
          <w:szCs w:val="24"/>
        </w:rPr>
      </w:pPr>
    </w:p>
    <w:p w:rsidR="00F01806" w:rsidRPr="00C42343" w:rsidRDefault="00F01806" w:rsidP="00F01806">
      <w:pPr>
        <w:jc w:val="right"/>
        <w:rPr>
          <w:sz w:val="24"/>
          <w:szCs w:val="24"/>
        </w:rPr>
      </w:pPr>
      <w:r w:rsidRPr="00C42343">
        <w:rPr>
          <w:sz w:val="24"/>
          <w:szCs w:val="24"/>
        </w:rPr>
        <w:t>Таблица 1</w:t>
      </w:r>
    </w:p>
    <w:p w:rsidR="00F01806" w:rsidRPr="00B5104F" w:rsidRDefault="00F01806" w:rsidP="00F01806">
      <w:pPr>
        <w:jc w:val="center"/>
        <w:rPr>
          <w:b/>
          <w:sz w:val="24"/>
          <w:szCs w:val="24"/>
        </w:rPr>
      </w:pPr>
      <w:r w:rsidRPr="00B5104F">
        <w:rPr>
          <w:b/>
          <w:sz w:val="24"/>
          <w:szCs w:val="24"/>
        </w:rPr>
        <w:t>Сведения о рассмотрении заявлений в 201</w:t>
      </w:r>
      <w:r>
        <w:rPr>
          <w:b/>
          <w:sz w:val="24"/>
          <w:szCs w:val="24"/>
        </w:rPr>
        <w:t>6</w:t>
      </w:r>
      <w:r w:rsidRPr="00B5104F">
        <w:rPr>
          <w:b/>
          <w:sz w:val="24"/>
          <w:szCs w:val="24"/>
        </w:rPr>
        <w:t xml:space="preserve"> и  201</w:t>
      </w:r>
      <w:r>
        <w:rPr>
          <w:b/>
          <w:sz w:val="24"/>
          <w:szCs w:val="24"/>
        </w:rPr>
        <w:t>7</w:t>
      </w:r>
      <w:r w:rsidRPr="00B5104F">
        <w:rPr>
          <w:b/>
          <w:sz w:val="24"/>
          <w:szCs w:val="24"/>
        </w:rPr>
        <w:t xml:space="preserve"> годах</w:t>
      </w:r>
    </w:p>
    <w:tbl>
      <w:tblPr>
        <w:tblW w:w="932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923"/>
        <w:gridCol w:w="1701"/>
        <w:gridCol w:w="1701"/>
        <w:gridCol w:w="1003"/>
      </w:tblGrid>
      <w:tr w:rsidR="00DF52CB" w:rsidRPr="00CA1E47" w:rsidTr="00DF52CB">
        <w:trPr>
          <w:trHeight w:val="20"/>
          <w:jc w:val="center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1E47">
              <w:rPr>
                <w:b/>
                <w:sz w:val="24"/>
                <w:szCs w:val="24"/>
              </w:rPr>
              <w:t>Количество рассмотренных заявлений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1E4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CA1E4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</w:tcPr>
          <w:p w:rsidR="00DF52CB" w:rsidRPr="00DF52CB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52CB" w:rsidRPr="00CA1E47" w:rsidTr="00DF52CB">
        <w:trPr>
          <w:trHeight w:val="20"/>
          <w:jc w:val="center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E47">
              <w:rPr>
                <w:sz w:val="24"/>
                <w:szCs w:val="24"/>
              </w:rPr>
              <w:t>О предоставлении лицензии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2CB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</w:tcPr>
          <w:p w:rsidR="00DF52CB" w:rsidRPr="00DF52CB" w:rsidRDefault="00DF52CB" w:rsidP="00DF52C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F52CB" w:rsidRPr="00CA1E47" w:rsidTr="00DF52CB">
        <w:trPr>
          <w:trHeight w:val="205"/>
          <w:jc w:val="center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E47">
              <w:rPr>
                <w:sz w:val="24"/>
                <w:szCs w:val="24"/>
              </w:rPr>
              <w:t>О переоформлении лицензии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2CB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</w:tcPr>
          <w:p w:rsidR="00DF52CB" w:rsidRPr="00DF52CB" w:rsidRDefault="00DF52CB" w:rsidP="00DF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</w:p>
        </w:tc>
      </w:tr>
      <w:tr w:rsidR="00DF52CB" w:rsidRPr="00CA1E47" w:rsidTr="00DF52CB">
        <w:trPr>
          <w:trHeight w:val="205"/>
          <w:jc w:val="center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E47">
              <w:rPr>
                <w:sz w:val="24"/>
                <w:szCs w:val="24"/>
              </w:rPr>
              <w:t>О прекращении действия лицензии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2CB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</w:tcPr>
          <w:p w:rsidR="00DF52CB" w:rsidRPr="00DF52CB" w:rsidRDefault="00DF52CB" w:rsidP="00DF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</w:p>
        </w:tc>
      </w:tr>
      <w:tr w:rsidR="00DF52CB" w:rsidRPr="00CA1E47" w:rsidTr="00DF52CB">
        <w:trPr>
          <w:trHeight w:val="205"/>
          <w:jc w:val="center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E47">
              <w:rPr>
                <w:sz w:val="24"/>
                <w:szCs w:val="24"/>
              </w:rPr>
              <w:t>О выдаче дубликата лицензии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2CB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</w:tcPr>
          <w:p w:rsidR="00DF52CB" w:rsidRPr="00DF52CB" w:rsidRDefault="00DF52CB" w:rsidP="00DF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</w:p>
        </w:tc>
      </w:tr>
      <w:tr w:rsidR="00DF52CB" w:rsidRPr="00DF52CB" w:rsidTr="00DF52CB">
        <w:trPr>
          <w:trHeight w:val="20"/>
          <w:jc w:val="center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A1E4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F52CB" w:rsidRPr="00CA1E47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2CB" w:rsidRDefault="00DF52CB" w:rsidP="00F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093">
              <w:rPr>
                <w:b/>
                <w:bCs/>
                <w:color w:val="000000"/>
                <w:sz w:val="24"/>
                <w:szCs w:val="24"/>
              </w:rPr>
              <w:t>26587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000000" w:fill="FFFFFF"/>
          </w:tcPr>
          <w:p w:rsidR="00DF52CB" w:rsidRPr="00DF52CB" w:rsidRDefault="00DF52CB" w:rsidP="00DF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</w:p>
        </w:tc>
      </w:tr>
    </w:tbl>
    <w:p w:rsidR="00F01806" w:rsidRPr="00CA1E47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A5AAE" w:rsidRPr="005E73BA" w:rsidRDefault="00CA5AAE" w:rsidP="00CA5AAE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5E73BA">
        <w:rPr>
          <w:rFonts w:ascii="Times New Roman CYR" w:hAnsi="Times New Roman CYR" w:cs="Times New Roman CYR"/>
        </w:rPr>
        <w:t xml:space="preserve">В отношении обращений лицензиатов в лицензирующие органы субъектов Российской Федерации для переоформления лицензии следует обратить внимание на значительное снижение рассмотренных заявлений о переоформлении лицензий по сравнению с 2016 годом (в 2 раза) за счет уменьшения количества заявлений по основанию реорганизация юридического лица в форме преобразования, изменение его наименования, адреса места </w:t>
      </w:r>
      <w:r w:rsidRPr="005E73BA">
        <w:rPr>
          <w:rFonts w:ascii="Times New Roman CYR" w:hAnsi="Times New Roman CYR" w:cs="Times New Roman CYR"/>
        </w:rPr>
        <w:lastRenderedPageBreak/>
        <w:t>нахождения, а также изменение места жительства, фамилии, имени, отчества индивидуального</w:t>
      </w:r>
      <w:proofErr w:type="gramEnd"/>
      <w:r w:rsidRPr="005E73BA">
        <w:rPr>
          <w:rFonts w:ascii="Times New Roman CYR" w:hAnsi="Times New Roman CYR" w:cs="Times New Roman CYR"/>
        </w:rPr>
        <w:t xml:space="preserve"> предпринимателя, реквизитов документа, удостоверяющего его личность (в 2017 году – 10675 заявлений, в 2016 году – 31632) и заявлений о переоформлении лицензии в связи с изменением адреса места осуществления юридическим лицом  или индивидуальным предпринимателем лицензируемого вида деятельности (в 2017 году – 3759 заявлений,  в 2016 году – 4423).</w:t>
      </w:r>
    </w:p>
    <w:p w:rsidR="00CA5AAE" w:rsidRDefault="006D799A" w:rsidP="00CA5AAE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</w:t>
      </w:r>
      <w:r w:rsidR="00CA5AAE" w:rsidRPr="005E73BA">
        <w:rPr>
          <w:rFonts w:ascii="Times New Roman CYR" w:hAnsi="Times New Roman CYR" w:cs="Times New Roman CYR"/>
        </w:rPr>
        <w:t>заявлений о переоформлении лицензии в связи с изменением перечня выполняемых работ, оказываемых услуг, составляющих лицензируемый вид деятельности, остается примерно на том же уровне</w:t>
      </w:r>
      <w:r w:rsidR="007C4382">
        <w:rPr>
          <w:rFonts w:ascii="Times New Roman CYR" w:hAnsi="Times New Roman CYR" w:cs="Times New Roman CYR"/>
        </w:rPr>
        <w:t xml:space="preserve">: </w:t>
      </w:r>
      <w:r w:rsidR="00CA5AAE" w:rsidRPr="005E73BA">
        <w:rPr>
          <w:rFonts w:ascii="Times New Roman CYR" w:hAnsi="Times New Roman CYR" w:cs="Times New Roman CYR"/>
        </w:rPr>
        <w:t xml:space="preserve"> в 2017 году – 6577</w:t>
      </w:r>
      <w:r w:rsidR="00CA5AAE">
        <w:rPr>
          <w:rFonts w:ascii="Times New Roman CYR" w:hAnsi="Times New Roman CYR" w:cs="Times New Roman CYR"/>
        </w:rPr>
        <w:t xml:space="preserve"> </w:t>
      </w:r>
      <w:r w:rsidR="00CA5AAE" w:rsidRPr="005E73BA">
        <w:rPr>
          <w:rFonts w:ascii="Times New Roman CYR" w:hAnsi="Times New Roman CYR" w:cs="Times New Roman CYR"/>
        </w:rPr>
        <w:t>заявлений, в 2016 году – 6641.</w:t>
      </w:r>
    </w:p>
    <w:p w:rsidR="00F01806" w:rsidRPr="00960572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73287">
        <w:rPr>
          <w:rFonts w:ascii="Times New Roman CYR" w:hAnsi="Times New Roman CYR" w:cs="Times New Roman CYR"/>
        </w:rPr>
        <w:t xml:space="preserve">Доля отказов в предоставлении </w:t>
      </w:r>
      <w:r>
        <w:rPr>
          <w:rFonts w:ascii="Times New Roman CYR" w:hAnsi="Times New Roman CYR" w:cs="Times New Roman CYR"/>
        </w:rPr>
        <w:t xml:space="preserve"> </w:t>
      </w:r>
      <w:r w:rsidRPr="00673287">
        <w:rPr>
          <w:rFonts w:ascii="Times New Roman CYR" w:hAnsi="Times New Roman CYR" w:cs="Times New Roman CYR"/>
        </w:rPr>
        <w:t>и переоформлении лицензии от общего количества рассмотренных заявлений в 201</w:t>
      </w:r>
      <w:r>
        <w:rPr>
          <w:rFonts w:ascii="Times New Roman CYR" w:hAnsi="Times New Roman CYR" w:cs="Times New Roman CYR"/>
        </w:rPr>
        <w:t>7</w:t>
      </w:r>
      <w:r w:rsidRPr="00673287">
        <w:rPr>
          <w:rFonts w:ascii="Times New Roman CYR" w:hAnsi="Times New Roman CYR" w:cs="Times New Roman CYR"/>
        </w:rPr>
        <w:t xml:space="preserve"> году </w:t>
      </w:r>
      <w:r>
        <w:rPr>
          <w:rFonts w:ascii="Times New Roman CYR" w:hAnsi="Times New Roman CYR" w:cs="Times New Roman CYR"/>
        </w:rPr>
        <w:t>возросла</w:t>
      </w:r>
      <w:r w:rsidRPr="00673287">
        <w:rPr>
          <w:rFonts w:ascii="Times New Roman CYR" w:hAnsi="Times New Roman CYR" w:cs="Times New Roman CYR"/>
        </w:rPr>
        <w:t xml:space="preserve"> по сравнению с 201</w:t>
      </w:r>
      <w:r>
        <w:rPr>
          <w:rFonts w:ascii="Times New Roman CYR" w:hAnsi="Times New Roman CYR" w:cs="Times New Roman CYR"/>
        </w:rPr>
        <w:t xml:space="preserve">6 </w:t>
      </w:r>
      <w:r w:rsidR="006D799A">
        <w:rPr>
          <w:rFonts w:ascii="Times New Roman CYR" w:hAnsi="Times New Roman CYR" w:cs="Times New Roman CYR"/>
        </w:rPr>
        <w:t>годом:</w:t>
      </w:r>
    </w:p>
    <w:p w:rsidR="00640213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C4343D">
        <w:rPr>
          <w:rFonts w:ascii="Times New Roman CYR" w:hAnsi="Times New Roman CYR" w:cs="Times New Roman CYR"/>
          <w:color w:val="000000"/>
        </w:rPr>
        <w:t>количество отказов в предоставлении лицензии –</w:t>
      </w:r>
      <w:r>
        <w:rPr>
          <w:rFonts w:ascii="Times New Roman CYR" w:hAnsi="Times New Roman CYR" w:cs="Times New Roman CYR"/>
          <w:color w:val="000000"/>
        </w:rPr>
        <w:t xml:space="preserve"> 149</w:t>
      </w:r>
      <w:r w:rsidRPr="00C4343D">
        <w:rPr>
          <w:rFonts w:ascii="Times New Roman CYR" w:hAnsi="Times New Roman CYR" w:cs="Times New Roman CYR"/>
          <w:color w:val="000000"/>
        </w:rPr>
        <w:t xml:space="preserve"> из </w:t>
      </w:r>
      <w:r>
        <w:rPr>
          <w:rFonts w:ascii="Times New Roman CYR" w:hAnsi="Times New Roman CYR" w:cs="Times New Roman CYR"/>
          <w:color w:val="000000"/>
        </w:rPr>
        <w:t>4038</w:t>
      </w:r>
      <w:r w:rsidRPr="00C4343D">
        <w:rPr>
          <w:rFonts w:ascii="Times New Roman CYR" w:hAnsi="Times New Roman CYR" w:cs="Times New Roman CYR"/>
          <w:color w:val="000000"/>
        </w:rPr>
        <w:t xml:space="preserve"> рассмотренных заявлений или </w:t>
      </w:r>
      <w:r>
        <w:rPr>
          <w:rFonts w:ascii="Times New Roman CYR" w:hAnsi="Times New Roman CYR" w:cs="Times New Roman CYR"/>
          <w:color w:val="000000"/>
        </w:rPr>
        <w:t>3,7</w:t>
      </w:r>
      <w:r w:rsidRPr="00C4343D">
        <w:rPr>
          <w:rFonts w:ascii="Times New Roman CYR" w:hAnsi="Times New Roman CYR" w:cs="Times New Roman CYR"/>
          <w:color w:val="000000"/>
        </w:rPr>
        <w:t xml:space="preserve">% 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4343D">
        <w:rPr>
          <w:rFonts w:ascii="Times New Roman CYR" w:hAnsi="Times New Roman CYR" w:cs="Times New Roman CYR"/>
          <w:color w:val="000000"/>
        </w:rPr>
        <w:t>(в 201</w:t>
      </w:r>
      <w:r>
        <w:rPr>
          <w:rFonts w:ascii="Times New Roman CYR" w:hAnsi="Times New Roman CYR" w:cs="Times New Roman CYR"/>
          <w:color w:val="000000"/>
        </w:rPr>
        <w:t>6</w:t>
      </w:r>
      <w:r w:rsidRPr="00C4343D">
        <w:rPr>
          <w:rFonts w:ascii="Times New Roman CYR" w:hAnsi="Times New Roman CYR" w:cs="Times New Roman CYR"/>
          <w:color w:val="000000"/>
        </w:rPr>
        <w:t xml:space="preserve"> году соответственно –</w:t>
      </w:r>
      <w:r>
        <w:rPr>
          <w:rFonts w:ascii="Times New Roman CYR" w:hAnsi="Times New Roman CYR" w:cs="Times New Roman CYR"/>
          <w:color w:val="000000"/>
        </w:rPr>
        <w:t xml:space="preserve"> 141</w:t>
      </w:r>
      <w:r w:rsidRPr="00C4343D">
        <w:rPr>
          <w:rFonts w:ascii="Times New Roman CYR" w:hAnsi="Times New Roman CYR" w:cs="Times New Roman CYR"/>
          <w:color w:val="000000"/>
        </w:rPr>
        <w:t xml:space="preserve"> из </w:t>
      </w:r>
      <w:r>
        <w:rPr>
          <w:rFonts w:ascii="Times New Roman CYR" w:hAnsi="Times New Roman CYR" w:cs="Times New Roman CYR"/>
          <w:color w:val="000000"/>
        </w:rPr>
        <w:t>5688</w:t>
      </w:r>
      <w:r w:rsidRPr="00C4343D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или 2,5%)</w:t>
      </w:r>
      <w:r w:rsidRPr="00C4343D">
        <w:rPr>
          <w:rFonts w:ascii="Times New Roman CYR" w:hAnsi="Times New Roman CYR" w:cs="Times New Roman CYR"/>
          <w:color w:val="000000"/>
        </w:rPr>
        <w:t>;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640213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C4343D">
        <w:rPr>
          <w:rFonts w:ascii="Times New Roman CYR" w:hAnsi="Times New Roman CYR" w:cs="Times New Roman CYR"/>
        </w:rPr>
        <w:t xml:space="preserve">количество отказов в переоформлении лицензии – </w:t>
      </w:r>
      <w:r>
        <w:rPr>
          <w:rFonts w:ascii="Times New Roman CYR" w:hAnsi="Times New Roman CYR" w:cs="Times New Roman CYR"/>
        </w:rPr>
        <w:t>301</w:t>
      </w:r>
      <w:r w:rsidRPr="00C4343D">
        <w:rPr>
          <w:rFonts w:ascii="Times New Roman CYR" w:hAnsi="Times New Roman CYR" w:cs="Times New Roman CYR"/>
        </w:rPr>
        <w:t xml:space="preserve"> из </w:t>
      </w:r>
      <w:r>
        <w:rPr>
          <w:rFonts w:ascii="Times New Roman CYR" w:hAnsi="Times New Roman CYR" w:cs="Times New Roman CYR"/>
        </w:rPr>
        <w:t>21011</w:t>
      </w:r>
      <w:r w:rsidRPr="00C4343D">
        <w:rPr>
          <w:rFonts w:ascii="Times New Roman CYR" w:hAnsi="Times New Roman CYR" w:cs="Times New Roman CYR"/>
        </w:rPr>
        <w:t xml:space="preserve"> рассмотренн</w:t>
      </w:r>
      <w:r w:rsidRPr="00C4343D">
        <w:rPr>
          <w:rFonts w:ascii="Times New Roman CYR" w:hAnsi="Times New Roman CYR" w:cs="Times New Roman CYR"/>
          <w:color w:val="000000"/>
        </w:rPr>
        <w:t xml:space="preserve">ых заявлений или </w:t>
      </w:r>
      <w:r>
        <w:rPr>
          <w:rFonts w:ascii="Times New Roman CYR" w:hAnsi="Times New Roman CYR" w:cs="Times New Roman CYR"/>
          <w:color w:val="000000"/>
        </w:rPr>
        <w:t>1,4</w:t>
      </w:r>
      <w:r w:rsidRPr="00C4343D">
        <w:rPr>
          <w:rFonts w:ascii="Times New Roman CYR" w:hAnsi="Times New Roman CYR" w:cs="Times New Roman CYR"/>
          <w:color w:val="000000"/>
        </w:rPr>
        <w:t>% (в 201</w:t>
      </w:r>
      <w:r>
        <w:rPr>
          <w:rFonts w:ascii="Times New Roman CYR" w:hAnsi="Times New Roman CYR" w:cs="Times New Roman CYR"/>
          <w:color w:val="000000"/>
        </w:rPr>
        <w:t>6</w:t>
      </w:r>
      <w:r w:rsidRPr="00C4343D">
        <w:rPr>
          <w:rFonts w:ascii="Times New Roman CYR" w:hAnsi="Times New Roman CYR" w:cs="Times New Roman CYR"/>
          <w:color w:val="000000"/>
        </w:rPr>
        <w:t xml:space="preserve"> году соответственно 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C4343D">
        <w:rPr>
          <w:rFonts w:ascii="Times New Roman CYR" w:hAnsi="Times New Roman CYR" w:cs="Times New Roman CYR"/>
          <w:color w:val="000000"/>
        </w:rPr>
        <w:t xml:space="preserve">– </w:t>
      </w:r>
      <w:r>
        <w:rPr>
          <w:rFonts w:ascii="Times New Roman CYR" w:hAnsi="Times New Roman CYR" w:cs="Times New Roman CYR"/>
        </w:rPr>
        <w:t>391</w:t>
      </w:r>
      <w:r w:rsidRPr="00C4343D">
        <w:rPr>
          <w:rFonts w:ascii="Times New Roman CYR" w:hAnsi="Times New Roman CYR" w:cs="Times New Roman CYR"/>
        </w:rPr>
        <w:t xml:space="preserve"> из </w:t>
      </w:r>
      <w:r>
        <w:rPr>
          <w:rFonts w:ascii="Times New Roman CYR" w:hAnsi="Times New Roman CYR" w:cs="Times New Roman CYR"/>
        </w:rPr>
        <w:t>42696</w:t>
      </w:r>
      <w:r w:rsidRPr="00C4343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или 0,9%</w:t>
      </w:r>
      <w:r w:rsidRPr="00C4343D">
        <w:rPr>
          <w:rFonts w:ascii="Times New Roman CYR" w:hAnsi="Times New Roman CYR" w:cs="Times New Roman CYR"/>
          <w:color w:val="000000"/>
        </w:rPr>
        <w:t>).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F01806" w:rsidRPr="004E57F1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>В 201</w:t>
      </w:r>
      <w:r>
        <w:rPr>
          <w:rFonts w:ascii="Times New Roman CYR" w:hAnsi="Times New Roman CYR" w:cs="Times New Roman CYR"/>
        </w:rPr>
        <w:t>7</w:t>
      </w:r>
      <w:r w:rsidRPr="00C4343D">
        <w:rPr>
          <w:rFonts w:ascii="Times New Roman CYR" w:hAnsi="Times New Roman CYR" w:cs="Times New Roman CYR"/>
        </w:rPr>
        <w:t xml:space="preserve"> году прекращено действие </w:t>
      </w:r>
      <w:r>
        <w:rPr>
          <w:rFonts w:ascii="Times New Roman CYR" w:hAnsi="Times New Roman CYR" w:cs="Times New Roman CYR"/>
        </w:rPr>
        <w:t>3077</w:t>
      </w:r>
      <w:r w:rsidRPr="00C4343D">
        <w:t xml:space="preserve"> </w:t>
      </w:r>
      <w:r w:rsidRPr="00C4343D">
        <w:rPr>
          <w:rFonts w:ascii="Times New Roman CYR" w:hAnsi="Times New Roman CYR" w:cs="Times New Roman CYR"/>
        </w:rPr>
        <w:t xml:space="preserve">лицензий, выданных лицензирующими органами субъектов Российской Федерации, что </w:t>
      </w:r>
      <w:r>
        <w:rPr>
          <w:rFonts w:ascii="Times New Roman CYR" w:hAnsi="Times New Roman CYR" w:cs="Times New Roman CYR"/>
        </w:rPr>
        <w:t>на 25,9%</w:t>
      </w:r>
      <w:r w:rsidRPr="00C4343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меньше</w:t>
      </w:r>
      <w:r w:rsidRPr="00C4343D">
        <w:rPr>
          <w:rFonts w:ascii="Times New Roman CYR" w:hAnsi="Times New Roman CYR" w:cs="Times New Roman CYR"/>
        </w:rPr>
        <w:t>, чем в 201</w:t>
      </w:r>
      <w:r>
        <w:rPr>
          <w:rFonts w:ascii="Times New Roman CYR" w:hAnsi="Times New Roman CYR" w:cs="Times New Roman CYR"/>
        </w:rPr>
        <w:t>6</w:t>
      </w:r>
      <w:r w:rsidRPr="00C4343D">
        <w:rPr>
          <w:rFonts w:ascii="Times New Roman CYR" w:hAnsi="Times New Roman CYR" w:cs="Times New Roman CYR"/>
        </w:rPr>
        <w:t xml:space="preserve"> году (в 201</w:t>
      </w:r>
      <w:r>
        <w:rPr>
          <w:rFonts w:ascii="Times New Roman CYR" w:hAnsi="Times New Roman CYR" w:cs="Times New Roman CYR"/>
        </w:rPr>
        <w:t>6</w:t>
      </w:r>
      <w:r w:rsidRPr="00C4343D">
        <w:rPr>
          <w:rFonts w:ascii="Times New Roman CYR" w:hAnsi="Times New Roman CYR" w:cs="Times New Roman CYR"/>
        </w:rPr>
        <w:t xml:space="preserve"> году прекращено действие </w:t>
      </w:r>
      <w:r>
        <w:rPr>
          <w:rFonts w:ascii="Times New Roman CYR" w:hAnsi="Times New Roman CYR" w:cs="Times New Roman CYR"/>
        </w:rPr>
        <w:t>4153</w:t>
      </w:r>
      <w:r w:rsidRPr="00C4343D">
        <w:rPr>
          <w:rFonts w:ascii="Times New Roman CYR" w:hAnsi="Times New Roman CYR" w:cs="Times New Roman CYR"/>
        </w:rPr>
        <w:t xml:space="preserve"> лицензий)</w:t>
      </w:r>
      <w:r>
        <w:rPr>
          <w:rFonts w:ascii="Times New Roman CYR" w:hAnsi="Times New Roman CYR" w:cs="Times New Roman CYR"/>
        </w:rPr>
        <w:t>, из них</w:t>
      </w:r>
      <w:r w:rsidRPr="00C4343D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bookmarkStart w:id="9" w:name="_GoBack"/>
    </w:p>
    <w:bookmarkEnd w:id="9"/>
    <w:p w:rsidR="00640213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 xml:space="preserve">по заявлению лицензиата –  </w:t>
      </w:r>
      <w:r>
        <w:rPr>
          <w:rFonts w:ascii="Times New Roman CYR" w:hAnsi="Times New Roman CYR" w:cs="Times New Roman CYR"/>
        </w:rPr>
        <w:t>1353</w:t>
      </w:r>
      <w:r w:rsidRPr="00C4343D">
        <w:rPr>
          <w:rFonts w:ascii="Times New Roman CYR" w:hAnsi="Times New Roman CYR" w:cs="Times New Roman CYR"/>
        </w:rPr>
        <w:t xml:space="preserve"> лицензи</w:t>
      </w:r>
      <w:r>
        <w:rPr>
          <w:rFonts w:ascii="Times New Roman CYR" w:hAnsi="Times New Roman CYR" w:cs="Times New Roman CYR"/>
        </w:rPr>
        <w:t>и</w:t>
      </w:r>
      <w:r w:rsidRPr="00C4343D">
        <w:rPr>
          <w:rFonts w:ascii="Times New Roman CYR" w:hAnsi="Times New Roman CYR" w:cs="Times New Roman CYR"/>
        </w:rPr>
        <w:t xml:space="preserve"> или</w:t>
      </w:r>
      <w:r w:rsidRPr="00C4343D">
        <w:rPr>
          <w:rFonts w:ascii="Times New Roman CYR" w:hAnsi="Times New Roman CYR" w:cs="Times New Roman CYR"/>
          <w:color w:val="0000FF"/>
        </w:rPr>
        <w:t xml:space="preserve"> </w:t>
      </w:r>
      <w:r>
        <w:rPr>
          <w:rFonts w:ascii="Times New Roman CYR" w:hAnsi="Times New Roman CYR" w:cs="Times New Roman CYR"/>
        </w:rPr>
        <w:t>44</w:t>
      </w:r>
      <w:r w:rsidRPr="004A02F3">
        <w:rPr>
          <w:rFonts w:ascii="Times New Roman CYR" w:hAnsi="Times New Roman CYR" w:cs="Times New Roman CYR"/>
        </w:rPr>
        <w:t>%</w:t>
      </w:r>
      <w:r w:rsidR="00D73D1A">
        <w:rPr>
          <w:rFonts w:ascii="Times New Roman CYR" w:hAnsi="Times New Roman CYR" w:cs="Times New Roman CYR"/>
        </w:rPr>
        <w:t xml:space="preserve"> от общего количества лицензий, по которым принято решение о прекращении действия лицензии</w:t>
      </w:r>
      <w:r w:rsidRPr="004A02F3">
        <w:rPr>
          <w:rFonts w:ascii="Times New Roman CYR" w:hAnsi="Times New Roman CYR" w:cs="Times New Roman CYR"/>
        </w:rPr>
        <w:t xml:space="preserve"> (в 201</w:t>
      </w:r>
      <w:r>
        <w:rPr>
          <w:rFonts w:ascii="Times New Roman CYR" w:hAnsi="Times New Roman CYR" w:cs="Times New Roman CYR"/>
        </w:rPr>
        <w:t>6</w:t>
      </w:r>
      <w:r w:rsidRPr="00C4343D">
        <w:rPr>
          <w:rFonts w:ascii="Times New Roman CYR" w:hAnsi="Times New Roman CYR" w:cs="Times New Roman CYR"/>
        </w:rPr>
        <w:t xml:space="preserve"> году </w:t>
      </w:r>
      <w:r>
        <w:rPr>
          <w:rFonts w:ascii="Times New Roman CYR" w:hAnsi="Times New Roman CYR" w:cs="Times New Roman CYR"/>
        </w:rPr>
        <w:t>1170</w:t>
      </w:r>
      <w:r w:rsidRPr="00C4343D">
        <w:rPr>
          <w:rFonts w:ascii="Times New Roman CYR" w:hAnsi="Times New Roman CYR" w:cs="Times New Roman CYR"/>
        </w:rPr>
        <w:t xml:space="preserve"> лицензи</w:t>
      </w:r>
      <w:r>
        <w:rPr>
          <w:rFonts w:ascii="Times New Roman CYR" w:hAnsi="Times New Roman CYR" w:cs="Times New Roman CYR"/>
        </w:rPr>
        <w:t>й</w:t>
      </w:r>
      <w:r w:rsidRPr="00C4343D">
        <w:rPr>
          <w:rFonts w:ascii="Times New Roman CYR" w:hAnsi="Times New Roman CYR" w:cs="Times New Roman CYR"/>
        </w:rPr>
        <w:t xml:space="preserve"> или </w:t>
      </w:r>
      <w:r>
        <w:rPr>
          <w:rFonts w:ascii="Times New Roman CYR" w:hAnsi="Times New Roman CYR" w:cs="Times New Roman CYR"/>
        </w:rPr>
        <w:t>28,2</w:t>
      </w:r>
      <w:r w:rsidRPr="00C4343D">
        <w:rPr>
          <w:rFonts w:ascii="Times New Roman CYR" w:hAnsi="Times New Roman CYR" w:cs="Times New Roman CYR"/>
        </w:rPr>
        <w:t>%);</w:t>
      </w:r>
      <w:r>
        <w:rPr>
          <w:rFonts w:ascii="Times New Roman CYR" w:hAnsi="Times New Roman CYR" w:cs="Times New Roman CYR"/>
        </w:rPr>
        <w:t xml:space="preserve"> </w:t>
      </w:r>
    </w:p>
    <w:p w:rsidR="00F01806" w:rsidRPr="00960572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причине</w:t>
      </w:r>
      <w:r w:rsidRPr="00C4343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ликвидации</w:t>
      </w:r>
      <w:r w:rsidRPr="00C4343D">
        <w:rPr>
          <w:rFonts w:ascii="Times New Roman CYR" w:hAnsi="Times New Roman CYR" w:cs="Times New Roman CYR"/>
        </w:rPr>
        <w:t xml:space="preserve"> юридического лица или прекращени</w:t>
      </w:r>
      <w:r>
        <w:rPr>
          <w:rFonts w:ascii="Times New Roman CYR" w:hAnsi="Times New Roman CYR" w:cs="Times New Roman CYR"/>
        </w:rPr>
        <w:t>я</w:t>
      </w:r>
      <w:r w:rsidRPr="00C4343D">
        <w:rPr>
          <w:rFonts w:ascii="Times New Roman CYR" w:hAnsi="Times New Roman CYR" w:cs="Times New Roman CYR"/>
        </w:rPr>
        <w:t xml:space="preserve"> его деятельности в результате реорганизации</w:t>
      </w:r>
      <w:r>
        <w:rPr>
          <w:rFonts w:ascii="Times New Roman CYR" w:hAnsi="Times New Roman CYR" w:cs="Times New Roman CYR"/>
        </w:rPr>
        <w:t xml:space="preserve"> либо прекращения</w:t>
      </w:r>
      <w:r w:rsidRPr="00C4343D">
        <w:rPr>
          <w:rFonts w:ascii="Times New Roman CYR" w:hAnsi="Times New Roman CYR" w:cs="Times New Roman CYR"/>
        </w:rPr>
        <w:t xml:space="preserve"> физическим лицом деятельности в качестве индивидуального предпринимателя – </w:t>
      </w:r>
      <w:r>
        <w:rPr>
          <w:rFonts w:ascii="Times New Roman CYR" w:hAnsi="Times New Roman CYR" w:cs="Times New Roman CYR"/>
        </w:rPr>
        <w:t>1702</w:t>
      </w:r>
      <w:r w:rsidRPr="00C4343D">
        <w:rPr>
          <w:rFonts w:ascii="Times New Roman CYR" w:hAnsi="Times New Roman CYR" w:cs="Times New Roman CYR"/>
        </w:rPr>
        <w:t xml:space="preserve"> лицензи</w:t>
      </w:r>
      <w:r>
        <w:rPr>
          <w:rFonts w:ascii="Times New Roman CYR" w:hAnsi="Times New Roman CYR" w:cs="Times New Roman CYR"/>
        </w:rPr>
        <w:t>и</w:t>
      </w:r>
      <w:r w:rsidRPr="00C4343D">
        <w:rPr>
          <w:rFonts w:ascii="Times New Roman CYR" w:hAnsi="Times New Roman CYR" w:cs="Times New Roman CYR"/>
        </w:rPr>
        <w:t xml:space="preserve"> или </w:t>
      </w:r>
      <w:r>
        <w:rPr>
          <w:rFonts w:ascii="Times New Roman CYR" w:hAnsi="Times New Roman CYR" w:cs="Times New Roman CYR"/>
        </w:rPr>
        <w:t>55,3</w:t>
      </w:r>
      <w:r w:rsidRPr="00C4343D">
        <w:rPr>
          <w:rFonts w:ascii="Times New Roman CYR" w:hAnsi="Times New Roman CYR" w:cs="Times New Roman CYR"/>
        </w:rPr>
        <w:t>% (в 201</w:t>
      </w:r>
      <w:r>
        <w:rPr>
          <w:rFonts w:ascii="Times New Roman CYR" w:hAnsi="Times New Roman CYR" w:cs="Times New Roman CYR"/>
        </w:rPr>
        <w:t>6</w:t>
      </w:r>
      <w:r w:rsidRPr="00C4343D">
        <w:rPr>
          <w:rFonts w:ascii="Times New Roman CYR" w:hAnsi="Times New Roman CYR" w:cs="Times New Roman CYR"/>
        </w:rPr>
        <w:t xml:space="preserve"> году – </w:t>
      </w:r>
      <w:r w:rsidRPr="0048137F">
        <w:rPr>
          <w:rFonts w:ascii="Times New Roman CYR" w:hAnsi="Times New Roman CYR" w:cs="Times New Roman CYR"/>
        </w:rPr>
        <w:t>2943 лицензии или 70,9%</w:t>
      </w:r>
      <w:r w:rsidRPr="00C4343D">
        <w:rPr>
          <w:rFonts w:ascii="Times New Roman CYR" w:hAnsi="Times New Roman CYR" w:cs="Times New Roman CYR"/>
        </w:rPr>
        <w:t>);</w:t>
      </w:r>
      <w:r>
        <w:rPr>
          <w:rFonts w:ascii="Times New Roman CYR" w:hAnsi="Times New Roman CYR" w:cs="Times New Roman CYR"/>
        </w:rPr>
        <w:t xml:space="preserve"> </w:t>
      </w:r>
    </w:p>
    <w:p w:rsidR="00F01806" w:rsidRPr="00960572" w:rsidRDefault="00F01806" w:rsidP="00F0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60572">
        <w:rPr>
          <w:rFonts w:ascii="Times New Roman CYR" w:hAnsi="Times New Roman CYR" w:cs="Times New Roman CYR"/>
        </w:rPr>
        <w:t xml:space="preserve">по решению суда об аннулировании лицензии –  22 лицензии или 0,7% (в 2016 году – 40 лицензии или 0,9%). </w:t>
      </w:r>
    </w:p>
    <w:p w:rsidR="005C5231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0B2D89">
        <w:rPr>
          <w:rFonts w:ascii="Times New Roman CYR" w:hAnsi="Times New Roman CYR" w:cs="Times New Roman CYR"/>
        </w:rPr>
        <w:t>Наибольшее количество лицензий на образовательную деятельность, действие которых прекращено в связи с ликвидацией юридического лица или прекращением его деятельности в результате реорганизации, в связи с прекращением физическим лицом деятельности в качестве индивидуального предпринимателя, наблюдается в следующих субъектах Российской Федерации: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Волгоградской области  – 148(8,7% от общего количества лицензий, действие которых было прекращено в связи </w:t>
      </w:r>
      <w:r w:rsidRPr="000B2D89">
        <w:rPr>
          <w:rFonts w:ascii="Times New Roman CYR" w:hAnsi="Times New Roman CYR" w:cs="Times New Roman CYR"/>
        </w:rPr>
        <w:t>ликвидацией юридического лица или прекращением его деятельности в результате реорганизации, в связи с прекращением физическим лицом деятельности в качестве индивидуального предпринимателя</w:t>
      </w:r>
      <w:r>
        <w:rPr>
          <w:rFonts w:ascii="Times New Roman CYR" w:hAnsi="Times New Roman CYR" w:cs="Times New Roman CYR"/>
        </w:rPr>
        <w:t xml:space="preserve">), Республике Башкортостан  – 125 (7,3%), Алтайском крае – </w:t>
      </w:r>
      <w:r>
        <w:rPr>
          <w:rFonts w:ascii="Times New Roman CYR" w:hAnsi="Times New Roman CYR" w:cs="Times New Roman CYR"/>
        </w:rPr>
        <w:lastRenderedPageBreak/>
        <w:t xml:space="preserve">110 (6,5%), Свердловской области  – 108 (6,3%) и Челябинской области – 82 (4,8%). </w:t>
      </w:r>
      <w:proofErr w:type="gramEnd"/>
    </w:p>
    <w:p w:rsidR="00640213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8A6ECB">
        <w:rPr>
          <w:rFonts w:ascii="Times New Roman CYR" w:hAnsi="Times New Roman CYR" w:cs="Times New Roman CYR"/>
        </w:rPr>
        <w:t>В 2017 году лицензирующим органом был</w:t>
      </w:r>
      <w:r w:rsidR="003A520B">
        <w:rPr>
          <w:rFonts w:ascii="Times New Roman CYR" w:hAnsi="Times New Roman CYR" w:cs="Times New Roman CYR"/>
        </w:rPr>
        <w:t>и</w:t>
      </w:r>
      <w:r w:rsidRPr="008A6ECB">
        <w:rPr>
          <w:rFonts w:ascii="Times New Roman CYR" w:hAnsi="Times New Roman CYR" w:cs="Times New Roman CYR"/>
        </w:rPr>
        <w:t xml:space="preserve"> принят</w:t>
      </w:r>
      <w:r w:rsidR="003A520B">
        <w:rPr>
          <w:rFonts w:ascii="Times New Roman CYR" w:hAnsi="Times New Roman CYR" w:cs="Times New Roman CYR"/>
        </w:rPr>
        <w:t>ы</w:t>
      </w:r>
      <w:r w:rsidRPr="008A6ECB">
        <w:rPr>
          <w:rFonts w:ascii="Times New Roman CYR" w:hAnsi="Times New Roman CYR" w:cs="Times New Roman CYR"/>
        </w:rPr>
        <w:t xml:space="preserve"> 2444 решени</w:t>
      </w:r>
      <w:r w:rsidR="003A520B">
        <w:rPr>
          <w:rFonts w:ascii="Times New Roman CYR" w:hAnsi="Times New Roman CYR" w:cs="Times New Roman CYR"/>
        </w:rPr>
        <w:t>я</w:t>
      </w:r>
      <w:r w:rsidRPr="008A6ECB">
        <w:rPr>
          <w:rFonts w:ascii="Times New Roman CYR" w:hAnsi="Times New Roman CYR" w:cs="Times New Roman CYR"/>
        </w:rPr>
        <w:t xml:space="preserve"> по фактам рассмотрения заявлений о предоставлении, переоформлении, о прекращении действия, о выдаче дубликата, копии лицензии, предоставленных заявителю в электронной форме, что составляет 9,2% от общего количества рассмотренных заявлений (26587) о предоставлении, продлении срока действия, переоформлении, о прекращении действия, о выдаче дубликата, копии лицензии</w:t>
      </w:r>
      <w:r>
        <w:rPr>
          <w:rFonts w:ascii="Times New Roman CYR" w:hAnsi="Times New Roman CYR" w:cs="Times New Roman CYR"/>
        </w:rPr>
        <w:t>.</w:t>
      </w:r>
      <w:proofErr w:type="gramEnd"/>
      <w:r w:rsidRPr="008A6ECB">
        <w:rPr>
          <w:rFonts w:ascii="Times New Roman CYR" w:hAnsi="Times New Roman CYR" w:cs="Times New Roman CYR"/>
        </w:rPr>
        <w:t xml:space="preserve"> В 2016 году</w:t>
      </w:r>
      <w:r>
        <w:rPr>
          <w:rFonts w:ascii="Times New Roman CYR" w:hAnsi="Times New Roman CYR" w:cs="Times New Roman CYR"/>
        </w:rPr>
        <w:t xml:space="preserve"> количество предоставленных в электронной форме решений составило</w:t>
      </w:r>
      <w:r w:rsidRPr="008A6EC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1715 от 49836 рассмотренных заявлений или 3,4%. </w:t>
      </w:r>
    </w:p>
    <w:p w:rsidR="00640213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33A50">
        <w:rPr>
          <w:rFonts w:ascii="Times New Roman CYR" w:hAnsi="Times New Roman CYR" w:cs="Times New Roman CYR"/>
        </w:rPr>
        <w:t>В 201</w:t>
      </w:r>
      <w:r>
        <w:rPr>
          <w:rFonts w:ascii="Times New Roman CYR" w:hAnsi="Times New Roman CYR" w:cs="Times New Roman CYR"/>
        </w:rPr>
        <w:t>7</w:t>
      </w:r>
      <w:r w:rsidRPr="00B33A50">
        <w:rPr>
          <w:rFonts w:ascii="Times New Roman CYR" w:hAnsi="Times New Roman CYR" w:cs="Times New Roman CYR"/>
        </w:rPr>
        <w:t xml:space="preserve"> году лицензирующими органами субъектов Российской Федерации был</w:t>
      </w:r>
      <w:r w:rsidR="003A520B">
        <w:rPr>
          <w:rFonts w:ascii="Times New Roman CYR" w:hAnsi="Times New Roman CYR" w:cs="Times New Roman CYR"/>
        </w:rPr>
        <w:t>и</w:t>
      </w:r>
      <w:r w:rsidRPr="00B33A50">
        <w:rPr>
          <w:rFonts w:ascii="Times New Roman CYR" w:hAnsi="Times New Roman CYR" w:cs="Times New Roman CYR"/>
        </w:rPr>
        <w:t xml:space="preserve"> рассмотрен</w:t>
      </w:r>
      <w:r w:rsidR="003A520B">
        <w:rPr>
          <w:rFonts w:ascii="Times New Roman CYR" w:hAnsi="Times New Roman CYR" w:cs="Times New Roman CYR"/>
        </w:rPr>
        <w:t>ы</w:t>
      </w:r>
      <w:r w:rsidRPr="00B33A5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185</w:t>
      </w:r>
      <w:r w:rsidRPr="00B33A50">
        <w:rPr>
          <w:rFonts w:ascii="Times New Roman CYR" w:hAnsi="Times New Roman CYR" w:cs="Times New Roman CYR"/>
        </w:rPr>
        <w:t xml:space="preserve"> заявлени</w:t>
      </w:r>
      <w:r>
        <w:rPr>
          <w:rFonts w:ascii="Times New Roman CYR" w:hAnsi="Times New Roman CYR" w:cs="Times New Roman CYR"/>
        </w:rPr>
        <w:t>й</w:t>
      </w:r>
      <w:r w:rsidRPr="00B33A50">
        <w:rPr>
          <w:rFonts w:ascii="Times New Roman CYR" w:hAnsi="Times New Roman CYR" w:cs="Times New Roman CYR"/>
        </w:rPr>
        <w:t>, по которым предоставлены дубликаты, копии лицензий (в 201</w:t>
      </w:r>
      <w:r>
        <w:rPr>
          <w:rFonts w:ascii="Times New Roman CYR" w:hAnsi="Times New Roman CYR" w:cs="Times New Roman CYR"/>
        </w:rPr>
        <w:t>6</w:t>
      </w:r>
      <w:r w:rsidRPr="00B33A50">
        <w:rPr>
          <w:rFonts w:ascii="Times New Roman CYR" w:hAnsi="Times New Roman CYR" w:cs="Times New Roman CYR"/>
        </w:rPr>
        <w:t xml:space="preserve"> году – </w:t>
      </w:r>
      <w:r>
        <w:rPr>
          <w:rFonts w:ascii="Times New Roman CYR" w:hAnsi="Times New Roman CYR" w:cs="Times New Roman CYR"/>
        </w:rPr>
        <w:t>282</w:t>
      </w:r>
      <w:r w:rsidRPr="00B33A50">
        <w:rPr>
          <w:rFonts w:ascii="Times New Roman CYR" w:hAnsi="Times New Roman CYR" w:cs="Times New Roman CYR"/>
        </w:rPr>
        <w:t xml:space="preserve">). </w:t>
      </w:r>
    </w:p>
    <w:p w:rsidR="00F01806" w:rsidRPr="0090361B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0361B">
        <w:rPr>
          <w:rFonts w:ascii="Times New Roman CYR" w:hAnsi="Times New Roman CYR" w:cs="Times New Roman CYR"/>
        </w:rPr>
        <w:t>Прием заявлений о предоставлении государственной услуги по лицензированию образовательной деятельности в электронном виде обеспеч</w:t>
      </w:r>
      <w:r>
        <w:rPr>
          <w:rFonts w:ascii="Times New Roman CYR" w:hAnsi="Times New Roman CYR" w:cs="Times New Roman CYR"/>
        </w:rPr>
        <w:t xml:space="preserve">ивается </w:t>
      </w:r>
      <w:r w:rsidRPr="0090361B">
        <w:rPr>
          <w:rFonts w:ascii="Times New Roman CYR" w:hAnsi="Times New Roman CYR" w:cs="Times New Roman CYR"/>
        </w:rPr>
        <w:t xml:space="preserve"> с использованием Единого и регионального порталов государственных услуг.</w:t>
      </w:r>
    </w:p>
    <w:p w:rsidR="00F01806" w:rsidRDefault="00F01806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90361B">
        <w:rPr>
          <w:rFonts w:ascii="Times New Roman CYR" w:hAnsi="Times New Roman CYR" w:cs="Times New Roman CYR"/>
        </w:rPr>
        <w:t>Также в целях упрощения получения заявителями в электронном виде государственной услуги по лицензированию образовательной деятельности на официальн</w:t>
      </w:r>
      <w:r>
        <w:rPr>
          <w:rFonts w:ascii="Times New Roman CYR" w:hAnsi="Times New Roman CYR" w:cs="Times New Roman CYR"/>
        </w:rPr>
        <w:t>ых</w:t>
      </w:r>
      <w:r w:rsidRPr="0090361B">
        <w:rPr>
          <w:rFonts w:ascii="Times New Roman CYR" w:hAnsi="Times New Roman CYR" w:cs="Times New Roman CYR"/>
        </w:rPr>
        <w:t xml:space="preserve"> сайт</w:t>
      </w:r>
      <w:r>
        <w:rPr>
          <w:rFonts w:ascii="Times New Roman CYR" w:hAnsi="Times New Roman CYR" w:cs="Times New Roman CYR"/>
        </w:rPr>
        <w:t xml:space="preserve">ах лицензирующих органов </w:t>
      </w:r>
      <w:r w:rsidRPr="009036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размещаются </w:t>
      </w:r>
      <w:r w:rsidRPr="0090361B">
        <w:rPr>
          <w:rFonts w:ascii="Times New Roman CYR" w:hAnsi="Times New Roman CYR" w:cs="Times New Roman CYR"/>
        </w:rPr>
        <w:t xml:space="preserve"> электронны</w:t>
      </w:r>
      <w:r>
        <w:rPr>
          <w:rFonts w:ascii="Times New Roman CYR" w:hAnsi="Times New Roman CYR" w:cs="Times New Roman CYR"/>
        </w:rPr>
        <w:t>е</w:t>
      </w:r>
      <w:r w:rsidRPr="0090361B">
        <w:rPr>
          <w:rFonts w:ascii="Times New Roman CYR" w:hAnsi="Times New Roman CYR" w:cs="Times New Roman CYR"/>
        </w:rPr>
        <w:t xml:space="preserve"> сервис</w:t>
      </w:r>
      <w:r>
        <w:rPr>
          <w:rFonts w:ascii="Times New Roman CYR" w:hAnsi="Times New Roman CYR" w:cs="Times New Roman CYR"/>
        </w:rPr>
        <w:t>ы</w:t>
      </w:r>
      <w:r w:rsidRPr="0090361B">
        <w:rPr>
          <w:rFonts w:ascii="Times New Roman CYR" w:hAnsi="Times New Roman CYR" w:cs="Times New Roman CYR"/>
        </w:rPr>
        <w:t xml:space="preserve"> предоставления документов по вопросам лицензирования</w:t>
      </w:r>
      <w:r>
        <w:rPr>
          <w:rFonts w:ascii="Times New Roman CYR" w:hAnsi="Times New Roman CYR" w:cs="Times New Roman CYR"/>
        </w:rPr>
        <w:t xml:space="preserve">, которые  </w:t>
      </w:r>
      <w:r w:rsidRPr="0090361B">
        <w:rPr>
          <w:rFonts w:ascii="Times New Roman CYR" w:hAnsi="Times New Roman CYR" w:cs="Times New Roman CYR"/>
        </w:rPr>
        <w:t xml:space="preserve"> предоставля</w:t>
      </w:r>
      <w:r>
        <w:rPr>
          <w:rFonts w:ascii="Times New Roman CYR" w:hAnsi="Times New Roman CYR" w:cs="Times New Roman CYR"/>
        </w:rPr>
        <w:t>ю</w:t>
      </w:r>
      <w:r w:rsidRPr="0090361B">
        <w:rPr>
          <w:rFonts w:ascii="Times New Roman CYR" w:hAnsi="Times New Roman CYR" w:cs="Times New Roman CYR"/>
        </w:rPr>
        <w:t>т возможность соискателям лицензии и лицензиатам, исполь</w:t>
      </w:r>
      <w:r>
        <w:rPr>
          <w:rFonts w:ascii="Times New Roman CYR" w:hAnsi="Times New Roman CYR" w:cs="Times New Roman CYR"/>
        </w:rPr>
        <w:t xml:space="preserve">зуя личный кабинет, направить  в лицензирующий орган </w:t>
      </w:r>
      <w:r w:rsidRPr="0090361B">
        <w:rPr>
          <w:rFonts w:ascii="Times New Roman CYR" w:hAnsi="Times New Roman CYR" w:cs="Times New Roman CYR"/>
        </w:rPr>
        <w:t xml:space="preserve">заявление и прилагаемые документы в электронном виде, подписанные усиленной квалифицированной электронной подписью. </w:t>
      </w:r>
      <w:proofErr w:type="gramEnd"/>
    </w:p>
    <w:p w:rsidR="007345A0" w:rsidRPr="00AF1BCD" w:rsidRDefault="007345A0" w:rsidP="007345A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59C5">
        <w:t>В 201</w:t>
      </w:r>
      <w:r w:rsidR="00AF1BCD">
        <w:t>7</w:t>
      </w:r>
      <w:r w:rsidRPr="005959C5">
        <w:t xml:space="preserve"> году из </w:t>
      </w:r>
      <w:r>
        <w:t>26587</w:t>
      </w:r>
      <w:r w:rsidRPr="005959C5">
        <w:t xml:space="preserve"> заявлений (обращений) о предоставлении, переоформлении,</w:t>
      </w:r>
      <w:r w:rsidRPr="005959C5">
        <w:rPr>
          <w:rFonts w:ascii="Times New Roman CYR" w:hAnsi="Times New Roman CYR" w:cs="Times New Roman CYR"/>
        </w:rPr>
        <w:t xml:space="preserve"> </w:t>
      </w:r>
      <w:r w:rsidRPr="005959C5">
        <w:t xml:space="preserve">прекращении действия лицензии, о выдаче дубликата, копии лицензии, поступивших в лицензирующие органы субъектов Российской Федерации, </w:t>
      </w:r>
      <w:r>
        <w:t>3278</w:t>
      </w:r>
      <w:r w:rsidRPr="005959C5">
        <w:t xml:space="preserve"> заявлений (</w:t>
      </w:r>
      <w:r>
        <w:t>12,3</w:t>
      </w:r>
      <w:r w:rsidRPr="005959C5">
        <w:t>%) представлен</w:t>
      </w:r>
      <w:r>
        <w:t>ы</w:t>
      </w:r>
      <w:r w:rsidRPr="005959C5">
        <w:t xml:space="preserve"> в электронной форме</w:t>
      </w:r>
      <w:r>
        <w:t>, что на 7,9% больше по сравнению с 2016 годом</w:t>
      </w:r>
      <w:r w:rsidRPr="005959C5">
        <w:t xml:space="preserve"> (</w:t>
      </w:r>
      <w:r>
        <w:t>2195</w:t>
      </w:r>
      <w:r w:rsidRPr="005959C5">
        <w:t xml:space="preserve"> из </w:t>
      </w:r>
      <w:r>
        <w:t>49836</w:t>
      </w:r>
      <w:r w:rsidRPr="005959C5">
        <w:t xml:space="preserve"> или </w:t>
      </w:r>
      <w:r>
        <w:t>4,4</w:t>
      </w:r>
      <w:r w:rsidRPr="005959C5">
        <w:t>%).</w:t>
      </w:r>
      <w:r w:rsidR="00AF1BCD">
        <w:t xml:space="preserve"> </w:t>
      </w:r>
    </w:p>
    <w:p w:rsidR="007345A0" w:rsidRPr="00960572" w:rsidRDefault="007345A0" w:rsidP="00F01806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23 субъектах Российской Федерации  подавались заявления в электронной форме: </w:t>
      </w:r>
      <w:proofErr w:type="gramStart"/>
      <w:r w:rsidR="00AF1BCD">
        <w:rPr>
          <w:rFonts w:ascii="Times New Roman CYR" w:hAnsi="Times New Roman CYR" w:cs="Times New Roman CYR"/>
        </w:rPr>
        <w:t xml:space="preserve">Республиках Саха (Якутия), </w:t>
      </w:r>
      <w:r w:rsidR="00AF1BCD" w:rsidRPr="007345A0">
        <w:rPr>
          <w:rFonts w:ascii="Times New Roman CYR" w:hAnsi="Times New Roman CYR" w:cs="Times New Roman CYR"/>
        </w:rPr>
        <w:t>Башкортостан</w:t>
      </w:r>
      <w:r w:rsidR="00AF1BCD">
        <w:rPr>
          <w:rFonts w:ascii="Times New Roman CYR" w:hAnsi="Times New Roman CYR" w:cs="Times New Roman CYR"/>
        </w:rPr>
        <w:t xml:space="preserve">, </w:t>
      </w:r>
      <w:r w:rsidR="00AF1BCD" w:rsidRPr="007345A0">
        <w:rPr>
          <w:rFonts w:ascii="Times New Roman CYR" w:hAnsi="Times New Roman CYR" w:cs="Times New Roman CYR"/>
        </w:rPr>
        <w:t>Татарстан (Татарстан)</w:t>
      </w:r>
      <w:r w:rsidR="00AF1BCD" w:rsidRPr="00AF1BCD">
        <w:rPr>
          <w:rFonts w:ascii="Times New Roman CYR" w:hAnsi="Times New Roman CYR" w:cs="Times New Roman CYR"/>
        </w:rPr>
        <w:t xml:space="preserve">, </w:t>
      </w:r>
      <w:r w:rsidR="00AF1BCD" w:rsidRPr="007345A0">
        <w:rPr>
          <w:rFonts w:ascii="Times New Roman CYR" w:hAnsi="Times New Roman CYR" w:cs="Times New Roman CYR"/>
        </w:rPr>
        <w:t>Бурятия</w:t>
      </w:r>
      <w:r w:rsidR="00AF1BCD" w:rsidRPr="00AF1BCD">
        <w:rPr>
          <w:rFonts w:ascii="Times New Roman CYR" w:hAnsi="Times New Roman CYR" w:cs="Times New Roman CYR"/>
        </w:rPr>
        <w:t xml:space="preserve">, </w:t>
      </w:r>
      <w:r w:rsidR="00AF1BCD" w:rsidRPr="007345A0">
        <w:rPr>
          <w:rFonts w:ascii="Times New Roman CYR" w:hAnsi="Times New Roman CYR" w:cs="Times New Roman CYR"/>
        </w:rPr>
        <w:t>Адыгея (Адыгея)</w:t>
      </w:r>
      <w:r w:rsidR="00AF1BCD">
        <w:rPr>
          <w:rFonts w:ascii="Times New Roman CYR" w:hAnsi="Times New Roman CYR" w:cs="Times New Roman CYR"/>
        </w:rPr>
        <w:t xml:space="preserve">, Хабаровском и Краснодарском краях, Вологодской, Мурманской, Иркутской, Кемеровской, Новосибирской, Курганской, Свердловской, Челябинской, Брянской, Калужской, Тамбовской, Тульской, Астраханской, Ростовской областях, г. Москве и  </w:t>
      </w:r>
      <w:r w:rsidR="00AF1BCD" w:rsidRPr="007345A0">
        <w:rPr>
          <w:rFonts w:ascii="Times New Roman CYR" w:hAnsi="Times New Roman CYR" w:cs="Times New Roman CYR"/>
        </w:rPr>
        <w:t>Ханты-Мансийск</w:t>
      </w:r>
      <w:r w:rsidR="00AF1BCD" w:rsidRPr="00AF1BCD">
        <w:rPr>
          <w:rFonts w:ascii="Times New Roman CYR" w:hAnsi="Times New Roman CYR" w:cs="Times New Roman CYR"/>
        </w:rPr>
        <w:t>ом</w:t>
      </w:r>
      <w:r w:rsidR="00AF1BCD" w:rsidRPr="007345A0">
        <w:rPr>
          <w:rFonts w:ascii="Times New Roman CYR" w:hAnsi="Times New Roman CYR" w:cs="Times New Roman CYR"/>
        </w:rPr>
        <w:t xml:space="preserve"> автономн</w:t>
      </w:r>
      <w:r w:rsidR="00AF1BCD" w:rsidRPr="00AF1BCD">
        <w:rPr>
          <w:rFonts w:ascii="Times New Roman CYR" w:hAnsi="Times New Roman CYR" w:cs="Times New Roman CYR"/>
        </w:rPr>
        <w:t>ом</w:t>
      </w:r>
      <w:r w:rsidR="00AF1BCD" w:rsidRPr="007345A0">
        <w:rPr>
          <w:rFonts w:ascii="Times New Roman CYR" w:hAnsi="Times New Roman CYR" w:cs="Times New Roman CYR"/>
        </w:rPr>
        <w:t xml:space="preserve"> округ</w:t>
      </w:r>
      <w:r w:rsidR="00AF1BCD" w:rsidRPr="00AF1BCD">
        <w:rPr>
          <w:rFonts w:ascii="Times New Roman CYR" w:hAnsi="Times New Roman CYR" w:cs="Times New Roman CYR"/>
        </w:rPr>
        <w:t>е</w:t>
      </w:r>
      <w:r w:rsidR="00AF1BCD" w:rsidRPr="007345A0">
        <w:rPr>
          <w:rFonts w:ascii="Times New Roman CYR" w:hAnsi="Times New Roman CYR" w:cs="Times New Roman CYR"/>
        </w:rPr>
        <w:t xml:space="preserve"> </w:t>
      </w:r>
      <w:r w:rsidR="00AF1BCD" w:rsidRPr="00AF1BCD">
        <w:rPr>
          <w:rFonts w:ascii="Times New Roman CYR" w:hAnsi="Times New Roman CYR" w:cs="Times New Roman CYR"/>
        </w:rPr>
        <w:t>–</w:t>
      </w:r>
      <w:r w:rsidR="00AF1BCD" w:rsidRPr="007345A0">
        <w:rPr>
          <w:rFonts w:ascii="Times New Roman CYR" w:hAnsi="Times New Roman CYR" w:cs="Times New Roman CYR"/>
        </w:rPr>
        <w:t xml:space="preserve"> Югр</w:t>
      </w:r>
      <w:r w:rsidR="00AF1BCD" w:rsidRPr="00AF1BCD">
        <w:rPr>
          <w:rFonts w:ascii="Times New Roman CYR" w:hAnsi="Times New Roman CYR" w:cs="Times New Roman CYR"/>
        </w:rPr>
        <w:t>е.</w:t>
      </w:r>
      <w:r w:rsidR="00AF1BCD">
        <w:rPr>
          <w:rFonts w:ascii="Times New Roman CYR" w:hAnsi="Times New Roman CYR" w:cs="Times New Roman CYR"/>
        </w:rPr>
        <w:t xml:space="preserve"> </w:t>
      </w:r>
      <w:proofErr w:type="gramEnd"/>
    </w:p>
    <w:p w:rsidR="00F01806" w:rsidRPr="00960572" w:rsidRDefault="00F01806" w:rsidP="00F01806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Наибольшее к</w:t>
      </w:r>
      <w:r w:rsidRPr="00226764">
        <w:rPr>
          <w:rFonts w:ascii="Times New Roman CYR" w:hAnsi="Times New Roman CYR" w:cs="Times New Roman CYR"/>
        </w:rPr>
        <w:t>оличество заявлений (обращений) о предоставлении, переоформлении, о прекращении действия, о выдаче дубликата, копии лицензии, полученных лицензирующим органом в электронной форме</w:t>
      </w:r>
      <w:r>
        <w:rPr>
          <w:rFonts w:ascii="Times New Roman CYR" w:hAnsi="Times New Roman CYR" w:cs="Times New Roman CYR"/>
        </w:rPr>
        <w:t xml:space="preserve"> наблюдается в следующих субъектах Российской Федерации: </w:t>
      </w:r>
      <w:proofErr w:type="gramStart"/>
      <w:r>
        <w:rPr>
          <w:rFonts w:ascii="Times New Roman CYR" w:hAnsi="Times New Roman CYR" w:cs="Times New Roman CYR"/>
        </w:rPr>
        <w:t xml:space="preserve">Республике Башкортостан – 684 (20,9% от общего количества </w:t>
      </w:r>
      <w:r w:rsidRPr="00226764">
        <w:rPr>
          <w:rFonts w:ascii="Times New Roman CYR" w:hAnsi="Times New Roman CYR" w:cs="Times New Roman CYR"/>
        </w:rPr>
        <w:t xml:space="preserve">заявлений (обращений) о </w:t>
      </w:r>
      <w:r w:rsidRPr="00226764">
        <w:rPr>
          <w:rFonts w:ascii="Times New Roman CYR" w:hAnsi="Times New Roman CYR" w:cs="Times New Roman CYR"/>
        </w:rPr>
        <w:lastRenderedPageBreak/>
        <w:t>предоставлении, переоформлении, о прекращении действия, о выдаче дубликата, копии лицензии, полученных лицензирующим органом в электронной форме</w:t>
      </w:r>
      <w:r>
        <w:rPr>
          <w:rFonts w:ascii="Times New Roman CYR" w:hAnsi="Times New Roman CYR" w:cs="Times New Roman CYR"/>
        </w:rPr>
        <w:t xml:space="preserve">), г. Москве – 465 (14,2%), Республике Бурятия – 410 (12,5%), Вологодской области – 387 (11,8%),  Республике Татарстан (Татарстан) – 302 (9,2%), Новосибирской области – 209 (6,4), Астраханской области – 167 (5,1%) и Ростовской области – 164 (5%). </w:t>
      </w:r>
      <w:proofErr w:type="gramEnd"/>
    </w:p>
    <w:p w:rsidR="00642698" w:rsidRPr="00C937D4" w:rsidRDefault="00642698" w:rsidP="00D70BBA">
      <w:pPr>
        <w:spacing w:before="200" w:line="240" w:lineRule="auto"/>
        <w:ind w:firstLine="709"/>
        <w:jc w:val="both"/>
        <w:outlineLvl w:val="1"/>
        <w:rPr>
          <w:b/>
        </w:rPr>
      </w:pPr>
      <w:bookmarkStart w:id="10" w:name="_Toc475535813"/>
      <w:r w:rsidRPr="00C937D4">
        <w:rPr>
          <w:b/>
        </w:rPr>
        <w:t>в) сведения об организации межведомственного взаимодействия при осуществлении лицензирования образовательной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</w:r>
      <w:bookmarkEnd w:id="7"/>
      <w:bookmarkEnd w:id="10"/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bookmarkStart w:id="11" w:name="_Toc381000250"/>
      <w:bookmarkStart w:id="12" w:name="_Toc381779669"/>
      <w:r w:rsidRPr="00C937D4">
        <w:rPr>
          <w:rFonts w:ascii="Times New Roman CYR" w:hAnsi="Times New Roman CYR" w:cs="Times New Roman CYR"/>
        </w:rPr>
        <w:t>При осуществлении лицензирования образовательной деятельности лицензирующие органы субъектов Российской Федерации в целях получения необходимых заключений и подтверждения сведений, представленных соискателем лицензии или лицензиатом, осуществляют взаимодействие со следующими территориальными органами исполнительной власти:</w:t>
      </w:r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937D4">
        <w:rPr>
          <w:rFonts w:ascii="Times New Roman CYR" w:hAnsi="Times New Roman CYR" w:cs="Times New Roman CYR"/>
        </w:rPr>
        <w:t>Федеральн</w:t>
      </w:r>
      <w:r w:rsidR="001C4CA4" w:rsidRPr="00C937D4">
        <w:rPr>
          <w:rFonts w:ascii="Times New Roman CYR" w:hAnsi="Times New Roman CYR" w:cs="Times New Roman CYR"/>
        </w:rPr>
        <w:t>ой</w:t>
      </w:r>
      <w:r w:rsidRPr="00C937D4">
        <w:rPr>
          <w:rFonts w:ascii="Times New Roman CYR" w:hAnsi="Times New Roman CYR" w:cs="Times New Roman CYR"/>
        </w:rPr>
        <w:t xml:space="preserve"> служб</w:t>
      </w:r>
      <w:r w:rsidR="001C4CA4" w:rsidRPr="00C937D4">
        <w:rPr>
          <w:rFonts w:ascii="Times New Roman CYR" w:hAnsi="Times New Roman CYR" w:cs="Times New Roman CYR"/>
        </w:rPr>
        <w:t>ой</w:t>
      </w:r>
      <w:r w:rsidRPr="00C937D4">
        <w:rPr>
          <w:rFonts w:ascii="Times New Roman CYR" w:hAnsi="Times New Roman CYR" w:cs="Times New Roman CYR"/>
        </w:rPr>
        <w:t xml:space="preserve"> по надзору в сфере защиты прав потребителей и благополучия человек</w:t>
      </w:r>
      <w:r w:rsidR="001C4CA4" w:rsidRPr="00C937D4">
        <w:rPr>
          <w:rFonts w:ascii="Times New Roman CYR" w:hAnsi="Times New Roman CYR" w:cs="Times New Roman CYR"/>
        </w:rPr>
        <w:t>а (Роспотребнадзор) и Федеральным</w:t>
      </w:r>
      <w:r w:rsidRPr="00C937D4">
        <w:rPr>
          <w:rFonts w:ascii="Times New Roman CYR" w:hAnsi="Times New Roman CYR" w:cs="Times New Roman CYR"/>
        </w:rPr>
        <w:t xml:space="preserve"> медико-биологическ</w:t>
      </w:r>
      <w:r w:rsidR="001C4CA4" w:rsidRPr="00C937D4">
        <w:rPr>
          <w:rFonts w:ascii="Times New Roman CYR" w:hAnsi="Times New Roman CYR" w:cs="Times New Roman CYR"/>
        </w:rPr>
        <w:t>им</w:t>
      </w:r>
      <w:r w:rsidRPr="00C937D4">
        <w:rPr>
          <w:rFonts w:ascii="Times New Roman CYR" w:hAnsi="Times New Roman CYR" w:cs="Times New Roman CYR"/>
        </w:rPr>
        <w:t xml:space="preserve"> агентство</w:t>
      </w:r>
      <w:r w:rsidR="001C4CA4" w:rsidRPr="00C937D4">
        <w:rPr>
          <w:rFonts w:ascii="Times New Roman CYR" w:hAnsi="Times New Roman CYR" w:cs="Times New Roman CYR"/>
        </w:rPr>
        <w:t>м</w:t>
      </w:r>
      <w:r w:rsidRPr="00C937D4">
        <w:rPr>
          <w:rFonts w:ascii="Times New Roman CYR" w:hAnsi="Times New Roman CYR" w:cs="Times New Roman CYR"/>
        </w:rPr>
        <w:t xml:space="preserve"> (ФМБА России) – в целях получения заключени</w:t>
      </w:r>
      <w:r w:rsidR="001C4CA4" w:rsidRPr="00C937D4">
        <w:rPr>
          <w:rFonts w:ascii="Times New Roman CYR" w:hAnsi="Times New Roman CYR" w:cs="Times New Roman CYR"/>
        </w:rPr>
        <w:t>й</w:t>
      </w:r>
      <w:r w:rsidRPr="00C937D4">
        <w:rPr>
          <w:rFonts w:ascii="Times New Roman CYR" w:hAnsi="Times New Roman CYR" w:cs="Times New Roman CYR"/>
        </w:rPr>
        <w:t xml:space="preserve"> о соответствии зданий,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санитарно-эпидемиологическим требованиям;</w:t>
      </w:r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937D4">
        <w:rPr>
          <w:rFonts w:ascii="Times New Roman CYR" w:hAnsi="Times New Roman CYR" w:cs="Times New Roman CYR"/>
        </w:rPr>
        <w:t>Министерство</w:t>
      </w:r>
      <w:r w:rsidR="001C4CA4" w:rsidRPr="00C937D4">
        <w:rPr>
          <w:rFonts w:ascii="Times New Roman CYR" w:hAnsi="Times New Roman CYR" w:cs="Times New Roman CYR"/>
        </w:rPr>
        <w:t>м</w:t>
      </w:r>
      <w:r w:rsidRPr="00C937D4">
        <w:rPr>
          <w:rFonts w:ascii="Times New Roman CYR" w:hAnsi="Times New Roman CYR" w:cs="Times New Roman CYR"/>
        </w:rPr>
        <w:t xml:space="preserve"> Российской Федерации по делам гражданской обороны, чрезвычайным ситуациям и ликвидации последствий стихийных бедствий (МЧС России) </w:t>
      </w:r>
      <w:r w:rsidR="00A50539" w:rsidRPr="00C937D4">
        <w:rPr>
          <w:rFonts w:ascii="Times New Roman CYR" w:hAnsi="Times New Roman CYR" w:cs="Times New Roman CYR"/>
        </w:rPr>
        <w:t>–</w:t>
      </w:r>
      <w:r w:rsidRPr="00C937D4">
        <w:rPr>
          <w:rFonts w:ascii="Times New Roman CYR" w:hAnsi="Times New Roman CYR" w:cs="Times New Roman CYR"/>
        </w:rPr>
        <w:t xml:space="preserve"> в целях получения заключени</w:t>
      </w:r>
      <w:r w:rsidR="001C4CA4" w:rsidRPr="00C937D4">
        <w:rPr>
          <w:rFonts w:ascii="Times New Roman CYR" w:hAnsi="Times New Roman CYR" w:cs="Times New Roman CYR"/>
        </w:rPr>
        <w:t>й</w:t>
      </w:r>
      <w:r w:rsidRPr="00C937D4">
        <w:rPr>
          <w:rFonts w:ascii="Times New Roman CYR" w:hAnsi="Times New Roman CYR" w:cs="Times New Roman CYR"/>
        </w:rPr>
        <w:t xml:space="preserve"> о соответствии зданий,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требованиям пожарной безопасности;</w:t>
      </w:r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937D4">
        <w:rPr>
          <w:rFonts w:ascii="Times New Roman CYR" w:hAnsi="Times New Roman CYR" w:cs="Times New Roman CYR"/>
        </w:rPr>
        <w:t>Федеральн</w:t>
      </w:r>
      <w:r w:rsidR="001C4CA4" w:rsidRPr="00C937D4">
        <w:rPr>
          <w:rFonts w:ascii="Times New Roman CYR" w:hAnsi="Times New Roman CYR" w:cs="Times New Roman CYR"/>
        </w:rPr>
        <w:t>ой</w:t>
      </w:r>
      <w:r w:rsidRPr="00C937D4">
        <w:rPr>
          <w:rFonts w:ascii="Times New Roman CYR" w:hAnsi="Times New Roman CYR" w:cs="Times New Roman CYR"/>
        </w:rPr>
        <w:t xml:space="preserve"> служб</w:t>
      </w:r>
      <w:r w:rsidR="001C4CA4" w:rsidRPr="00C937D4">
        <w:rPr>
          <w:rFonts w:ascii="Times New Roman CYR" w:hAnsi="Times New Roman CYR" w:cs="Times New Roman CYR"/>
        </w:rPr>
        <w:t>ой</w:t>
      </w:r>
      <w:r w:rsidRPr="00C937D4">
        <w:rPr>
          <w:rFonts w:ascii="Times New Roman CYR" w:hAnsi="Times New Roman CYR" w:cs="Times New Roman CYR"/>
        </w:rPr>
        <w:t xml:space="preserve"> государственной регистрации, кадастра и картографии (Росреестр) </w:t>
      </w:r>
      <w:r w:rsidR="00A50539" w:rsidRPr="00C937D4">
        <w:rPr>
          <w:rFonts w:ascii="Times New Roman CYR" w:hAnsi="Times New Roman CYR" w:cs="Times New Roman CYR"/>
        </w:rPr>
        <w:t>–</w:t>
      </w:r>
      <w:r w:rsidRPr="00C937D4">
        <w:rPr>
          <w:rFonts w:ascii="Times New Roman CYR" w:hAnsi="Times New Roman CYR" w:cs="Times New Roman CYR"/>
        </w:rPr>
        <w:t xml:space="preserve"> в целях подтверждения сведений о наличии у соискателя лицензии или лицензиата в собственности или на ином законном основании зданий, строений, сооружений и помещений, заявленных соискателем лицензии или лицензиатом для осуществления образовательной деятельности;</w:t>
      </w:r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937D4">
        <w:rPr>
          <w:rFonts w:ascii="Times New Roman CYR" w:hAnsi="Times New Roman CYR" w:cs="Times New Roman CYR"/>
        </w:rPr>
        <w:t>Федеральн</w:t>
      </w:r>
      <w:r w:rsidR="001C4CA4" w:rsidRPr="00C937D4">
        <w:rPr>
          <w:rFonts w:ascii="Times New Roman CYR" w:hAnsi="Times New Roman CYR" w:cs="Times New Roman CYR"/>
        </w:rPr>
        <w:t>ой</w:t>
      </w:r>
      <w:r w:rsidRPr="00C937D4">
        <w:rPr>
          <w:rFonts w:ascii="Times New Roman CYR" w:hAnsi="Times New Roman CYR" w:cs="Times New Roman CYR"/>
        </w:rPr>
        <w:t xml:space="preserve"> налогов</w:t>
      </w:r>
      <w:r w:rsidR="001C4CA4" w:rsidRPr="00C937D4">
        <w:rPr>
          <w:rFonts w:ascii="Times New Roman CYR" w:hAnsi="Times New Roman CYR" w:cs="Times New Roman CYR"/>
        </w:rPr>
        <w:t>ой</w:t>
      </w:r>
      <w:r w:rsidRPr="00C937D4">
        <w:rPr>
          <w:rFonts w:ascii="Times New Roman CYR" w:hAnsi="Times New Roman CYR" w:cs="Times New Roman CYR"/>
        </w:rPr>
        <w:t xml:space="preserve"> служб</w:t>
      </w:r>
      <w:r w:rsidR="001C4CA4" w:rsidRPr="00C937D4">
        <w:rPr>
          <w:rFonts w:ascii="Times New Roman CYR" w:hAnsi="Times New Roman CYR" w:cs="Times New Roman CYR"/>
        </w:rPr>
        <w:t>ой</w:t>
      </w:r>
      <w:r w:rsidRPr="00C937D4">
        <w:rPr>
          <w:rFonts w:ascii="Times New Roman CYR" w:hAnsi="Times New Roman CYR" w:cs="Times New Roman CYR"/>
        </w:rPr>
        <w:t xml:space="preserve"> (ФНС России) </w:t>
      </w:r>
      <w:r w:rsidR="00A50539" w:rsidRPr="00C937D4">
        <w:rPr>
          <w:rFonts w:ascii="Times New Roman CYR" w:hAnsi="Times New Roman CYR" w:cs="Times New Roman CYR"/>
        </w:rPr>
        <w:t>–</w:t>
      </w:r>
      <w:r w:rsidRPr="00C937D4">
        <w:rPr>
          <w:rFonts w:ascii="Times New Roman CYR" w:hAnsi="Times New Roman CYR" w:cs="Times New Roman CYR"/>
        </w:rPr>
        <w:t xml:space="preserve"> в целях подтверждения сведений о государственной регистрации юридического лица, а также сведений о постановке соискателя лицензии или лицензиата на учет в налоговом органе;</w:t>
      </w:r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937D4">
        <w:rPr>
          <w:rFonts w:ascii="Times New Roman CYR" w:hAnsi="Times New Roman CYR" w:cs="Times New Roman CYR"/>
        </w:rPr>
        <w:lastRenderedPageBreak/>
        <w:t>Федеральн</w:t>
      </w:r>
      <w:r w:rsidR="001C4CA4" w:rsidRPr="00C937D4">
        <w:rPr>
          <w:rFonts w:ascii="Times New Roman CYR" w:hAnsi="Times New Roman CYR" w:cs="Times New Roman CYR"/>
        </w:rPr>
        <w:t>ым</w:t>
      </w:r>
      <w:r w:rsidRPr="00C937D4">
        <w:rPr>
          <w:rFonts w:ascii="Times New Roman CYR" w:hAnsi="Times New Roman CYR" w:cs="Times New Roman CYR"/>
        </w:rPr>
        <w:t xml:space="preserve"> казначейство</w:t>
      </w:r>
      <w:r w:rsidR="001C4CA4" w:rsidRPr="00C937D4">
        <w:rPr>
          <w:rFonts w:ascii="Times New Roman CYR" w:hAnsi="Times New Roman CYR" w:cs="Times New Roman CYR"/>
        </w:rPr>
        <w:t>м</w:t>
      </w:r>
      <w:r w:rsidRPr="00C937D4">
        <w:rPr>
          <w:rFonts w:ascii="Times New Roman CYR" w:hAnsi="Times New Roman CYR" w:cs="Times New Roman CYR"/>
        </w:rPr>
        <w:t xml:space="preserve"> (Казначейство России) </w:t>
      </w:r>
      <w:r w:rsidR="00A50539" w:rsidRPr="00C937D4">
        <w:rPr>
          <w:rFonts w:ascii="Times New Roman CYR" w:hAnsi="Times New Roman CYR" w:cs="Times New Roman CYR"/>
        </w:rPr>
        <w:t>–</w:t>
      </w:r>
      <w:r w:rsidRPr="00C937D4">
        <w:rPr>
          <w:rFonts w:ascii="Times New Roman CYR" w:hAnsi="Times New Roman CYR" w:cs="Times New Roman CYR"/>
        </w:rPr>
        <w:t xml:space="preserve"> в целях подтверждения сведений об уплате государственной пошлины соискателем лицензии или лицензиатом;</w:t>
      </w:r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937D4">
        <w:rPr>
          <w:rFonts w:ascii="Times New Roman CYR" w:hAnsi="Times New Roman CYR" w:cs="Times New Roman CYR"/>
        </w:rPr>
        <w:t>ины</w:t>
      </w:r>
      <w:r w:rsidR="001C4CA4" w:rsidRPr="00C937D4">
        <w:rPr>
          <w:rFonts w:ascii="Times New Roman CYR" w:hAnsi="Times New Roman CYR" w:cs="Times New Roman CYR"/>
        </w:rPr>
        <w:t>ми</w:t>
      </w:r>
      <w:r w:rsidRPr="00C937D4">
        <w:rPr>
          <w:rFonts w:ascii="Times New Roman CYR" w:hAnsi="Times New Roman CYR" w:cs="Times New Roman CYR"/>
        </w:rPr>
        <w:t xml:space="preserve"> лицензирующи</w:t>
      </w:r>
      <w:r w:rsidR="001C4CA4" w:rsidRPr="00C937D4">
        <w:rPr>
          <w:rFonts w:ascii="Times New Roman CYR" w:hAnsi="Times New Roman CYR" w:cs="Times New Roman CYR"/>
        </w:rPr>
        <w:t>ми</w:t>
      </w:r>
      <w:r w:rsidRPr="00C937D4">
        <w:rPr>
          <w:rFonts w:ascii="Times New Roman CYR" w:hAnsi="Times New Roman CYR" w:cs="Times New Roman CYR"/>
        </w:rPr>
        <w:t xml:space="preserve"> орган</w:t>
      </w:r>
      <w:r w:rsidR="001C4CA4" w:rsidRPr="00C937D4">
        <w:rPr>
          <w:rFonts w:ascii="Times New Roman CYR" w:hAnsi="Times New Roman CYR" w:cs="Times New Roman CYR"/>
        </w:rPr>
        <w:t>ами</w:t>
      </w:r>
      <w:r w:rsidRPr="00C937D4">
        <w:rPr>
          <w:rFonts w:ascii="Times New Roman CYR" w:hAnsi="Times New Roman CYR" w:cs="Times New Roman CYR"/>
        </w:rPr>
        <w:t xml:space="preserve"> </w:t>
      </w:r>
      <w:r w:rsidR="00A50539" w:rsidRPr="00C937D4">
        <w:rPr>
          <w:rFonts w:ascii="Times New Roman CYR" w:hAnsi="Times New Roman CYR" w:cs="Times New Roman CYR"/>
        </w:rPr>
        <w:t>–</w:t>
      </w:r>
      <w:r w:rsidRPr="00C937D4">
        <w:rPr>
          <w:rFonts w:ascii="Times New Roman CYR" w:hAnsi="Times New Roman CYR" w:cs="Times New Roman CYR"/>
        </w:rPr>
        <w:t xml:space="preserve"> в целях получения сведений о предоставлении лицензии и переоформлении документа, подтверждающего наличие лицензии, этими лицензирующими органами.</w:t>
      </w:r>
    </w:p>
    <w:p w:rsidR="00642698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3"/>
        </w:rPr>
      </w:pPr>
      <w:r w:rsidRPr="00C937D4">
        <w:rPr>
          <w:rFonts w:ascii="Times New Roman CYR" w:hAnsi="Times New Roman CYR" w:cs="Times New Roman CYR"/>
        </w:rPr>
        <w:t xml:space="preserve">При проведении лицензионного контроля осуществляется взаимодействие с региональными органами </w:t>
      </w:r>
      <w:r w:rsidRPr="00C937D4">
        <w:rPr>
          <w:rFonts w:ascii="Times New Roman CYR" w:hAnsi="Times New Roman CYR" w:cs="Times New Roman CYR"/>
          <w:spacing w:val="-1"/>
        </w:rPr>
        <w:t xml:space="preserve">прокуратуры, территориальными органами Роспотребнадзора, </w:t>
      </w:r>
      <w:r w:rsidRPr="00C937D4">
        <w:rPr>
          <w:rFonts w:ascii="Times New Roman CYR" w:hAnsi="Times New Roman CYR" w:cs="Times New Roman CYR"/>
        </w:rPr>
        <w:t xml:space="preserve">ФНС России, </w:t>
      </w:r>
      <w:proofErr w:type="spellStart"/>
      <w:r w:rsidRPr="00C937D4">
        <w:rPr>
          <w:rFonts w:ascii="Times New Roman CYR" w:hAnsi="Times New Roman CYR" w:cs="Times New Roman CYR"/>
        </w:rPr>
        <w:t>Росреестра</w:t>
      </w:r>
      <w:proofErr w:type="spellEnd"/>
      <w:r w:rsidRPr="00C937D4">
        <w:rPr>
          <w:rFonts w:ascii="Times New Roman CYR" w:hAnsi="Times New Roman CYR" w:cs="Times New Roman CYR"/>
        </w:rPr>
        <w:t xml:space="preserve">, структурными подразделениями территориальных органов МЧС России, </w:t>
      </w:r>
      <w:r w:rsidRPr="00C937D4">
        <w:rPr>
          <w:rFonts w:ascii="Times New Roman CYR" w:hAnsi="Times New Roman CYR" w:cs="Times New Roman CYR"/>
          <w:spacing w:val="-3"/>
        </w:rPr>
        <w:t>и другими контрольно-надзорными органами, находящимися на территории субъектов Российской Федерации, в том числе</w:t>
      </w:r>
      <w:r w:rsidR="001C4CA4" w:rsidRPr="00C937D4">
        <w:rPr>
          <w:rFonts w:ascii="Times New Roman CYR" w:hAnsi="Times New Roman CYR" w:cs="Times New Roman CYR"/>
          <w:spacing w:val="-3"/>
        </w:rPr>
        <w:t xml:space="preserve">, </w:t>
      </w:r>
      <w:r w:rsidRPr="00C937D4">
        <w:rPr>
          <w:rFonts w:ascii="Times New Roman CYR" w:hAnsi="Times New Roman CYR" w:cs="Times New Roman CYR"/>
          <w:spacing w:val="-3"/>
        </w:rPr>
        <w:t xml:space="preserve"> по вопросу </w:t>
      </w:r>
      <w:proofErr w:type="gramStart"/>
      <w:r w:rsidRPr="00C937D4">
        <w:rPr>
          <w:rFonts w:ascii="Times New Roman CYR" w:hAnsi="Times New Roman CYR" w:cs="Times New Roman CYR"/>
          <w:spacing w:val="-3"/>
        </w:rPr>
        <w:t>согласования проект</w:t>
      </w:r>
      <w:r w:rsidR="001C4CA4" w:rsidRPr="00C937D4">
        <w:rPr>
          <w:rFonts w:ascii="Times New Roman CYR" w:hAnsi="Times New Roman CYR" w:cs="Times New Roman CYR"/>
          <w:spacing w:val="-3"/>
        </w:rPr>
        <w:t xml:space="preserve">а </w:t>
      </w:r>
      <w:r w:rsidRPr="00C937D4">
        <w:rPr>
          <w:rFonts w:ascii="Times New Roman CYR" w:hAnsi="Times New Roman CYR" w:cs="Times New Roman CYR"/>
          <w:spacing w:val="-3"/>
        </w:rPr>
        <w:t xml:space="preserve">плана проведения плановых </w:t>
      </w:r>
      <w:r w:rsidRPr="00C937D4">
        <w:rPr>
          <w:rFonts w:ascii="Times New Roman CYR" w:hAnsi="Times New Roman CYR" w:cs="Times New Roman CYR"/>
        </w:rPr>
        <w:t>проверок юридических лиц</w:t>
      </w:r>
      <w:proofErr w:type="gramEnd"/>
      <w:r w:rsidRPr="00C937D4">
        <w:rPr>
          <w:rFonts w:ascii="Times New Roman CYR" w:hAnsi="Times New Roman CYR" w:cs="Times New Roman CYR"/>
        </w:rPr>
        <w:t xml:space="preserve"> на очередной календарный</w:t>
      </w:r>
      <w:r w:rsidRPr="00C937D4">
        <w:rPr>
          <w:rFonts w:ascii="Calibri" w:hAnsi="Calibri" w:cs="Calibri"/>
        </w:rPr>
        <w:t xml:space="preserve"> </w:t>
      </w:r>
      <w:r w:rsidRPr="00C937D4">
        <w:rPr>
          <w:rFonts w:ascii="Times New Roman CYR" w:hAnsi="Times New Roman CYR" w:cs="Times New Roman CYR"/>
          <w:spacing w:val="-3"/>
        </w:rPr>
        <w:t xml:space="preserve">год. </w:t>
      </w:r>
    </w:p>
    <w:p w:rsidR="001C4CA4" w:rsidRPr="00C937D4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937D4">
        <w:rPr>
          <w:rFonts w:ascii="Times New Roman CYR" w:hAnsi="Times New Roman CYR" w:cs="Times New Roman CYR"/>
        </w:rPr>
        <w:t>В целом при межведомственном взаимодействии соблюдаются сроки, установленные Федеральным законом о предоставлении услуг.</w:t>
      </w:r>
    </w:p>
    <w:p w:rsidR="00654FC2" w:rsidRPr="0041014E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1014E">
        <w:rPr>
          <w:rFonts w:ascii="Times New Roman CYR" w:hAnsi="Times New Roman CYR" w:cs="Times New Roman CYR"/>
        </w:rPr>
        <w:t xml:space="preserve">Вместе с тем, </w:t>
      </w:r>
      <w:r w:rsidR="00FF7603" w:rsidRPr="0041014E">
        <w:rPr>
          <w:rFonts w:ascii="Times New Roman CYR" w:hAnsi="Times New Roman CYR" w:cs="Times New Roman CYR"/>
        </w:rPr>
        <w:t xml:space="preserve"> </w:t>
      </w:r>
      <w:r w:rsidRPr="0041014E">
        <w:rPr>
          <w:rFonts w:ascii="Times New Roman CYR" w:hAnsi="Times New Roman CYR" w:cs="Times New Roman CYR"/>
        </w:rPr>
        <w:t xml:space="preserve">в </w:t>
      </w:r>
      <w:r w:rsidR="0041014E" w:rsidRPr="0041014E">
        <w:rPr>
          <w:rFonts w:ascii="Times New Roman CYR" w:hAnsi="Times New Roman CYR" w:cs="Times New Roman CYR"/>
        </w:rPr>
        <w:t>одном</w:t>
      </w:r>
      <w:r w:rsidRPr="0041014E">
        <w:rPr>
          <w:rFonts w:ascii="Times New Roman CYR" w:hAnsi="Times New Roman CYR" w:cs="Times New Roman CYR"/>
        </w:rPr>
        <w:t xml:space="preserve"> субъект</w:t>
      </w:r>
      <w:r w:rsidR="0041014E" w:rsidRPr="0041014E">
        <w:rPr>
          <w:rFonts w:ascii="Times New Roman CYR" w:hAnsi="Times New Roman CYR" w:cs="Times New Roman CYR"/>
        </w:rPr>
        <w:t>е</w:t>
      </w:r>
      <w:r w:rsidRPr="0041014E">
        <w:rPr>
          <w:rFonts w:ascii="Times New Roman CYR" w:hAnsi="Times New Roman CYR" w:cs="Times New Roman CYR"/>
        </w:rPr>
        <w:t xml:space="preserve"> Российской Федерации получение ответов по запросам лицензирующих органов составляет в среднем </w:t>
      </w:r>
      <w:r w:rsidR="00B801BD" w:rsidRPr="0041014E">
        <w:rPr>
          <w:rFonts w:ascii="Times New Roman CYR" w:hAnsi="Times New Roman CYR" w:cs="Times New Roman CYR"/>
        </w:rPr>
        <w:br/>
      </w:r>
      <w:r w:rsidRPr="0041014E">
        <w:rPr>
          <w:rFonts w:ascii="Times New Roman CYR" w:hAnsi="Times New Roman CYR" w:cs="Times New Roman CYR"/>
        </w:rPr>
        <w:t>более 5 рабочих дней со дня поступления межведомственного запроса в орган или организацию, предоставляющие документ и информацию</w:t>
      </w:r>
      <w:r w:rsidR="00C42343" w:rsidRPr="0041014E">
        <w:rPr>
          <w:rFonts w:ascii="Times New Roman CYR" w:hAnsi="Times New Roman CYR" w:cs="Times New Roman CYR"/>
        </w:rPr>
        <w:t>:</w:t>
      </w:r>
      <w:r w:rsidR="00C937D4" w:rsidRPr="0041014E">
        <w:rPr>
          <w:rFonts w:ascii="Times New Roman CYR" w:hAnsi="Times New Roman CYR" w:cs="Times New Roman CYR"/>
        </w:rPr>
        <w:t xml:space="preserve"> </w:t>
      </w:r>
      <w:r w:rsidR="00C42343" w:rsidRPr="0041014E">
        <w:rPr>
          <w:rFonts w:ascii="Times New Roman CYR" w:hAnsi="Times New Roman CYR" w:cs="Times New Roman CYR"/>
        </w:rPr>
        <w:t>в</w:t>
      </w:r>
      <w:r w:rsidR="00C937D4" w:rsidRPr="0041014E">
        <w:rPr>
          <w:rFonts w:ascii="Times New Roman CYR" w:hAnsi="Times New Roman CYR" w:cs="Times New Roman CYR"/>
        </w:rPr>
        <w:t xml:space="preserve"> Псковской области средний срок ответа на межведомственный запрос составляет </w:t>
      </w:r>
      <w:r w:rsidR="0041014E" w:rsidRPr="0041014E">
        <w:rPr>
          <w:rFonts w:ascii="Times New Roman CYR" w:hAnsi="Times New Roman CYR" w:cs="Times New Roman CYR"/>
        </w:rPr>
        <w:t>6</w:t>
      </w:r>
      <w:r w:rsidR="00C937D4" w:rsidRPr="0041014E">
        <w:rPr>
          <w:rFonts w:ascii="Times New Roman CYR" w:hAnsi="Times New Roman CYR" w:cs="Times New Roman CYR"/>
        </w:rPr>
        <w:t xml:space="preserve"> дней</w:t>
      </w:r>
      <w:r w:rsidR="0041014E" w:rsidRPr="0041014E">
        <w:rPr>
          <w:rFonts w:ascii="Times New Roman CYR" w:hAnsi="Times New Roman CYR" w:cs="Times New Roman CYR"/>
        </w:rPr>
        <w:t>.</w:t>
      </w:r>
    </w:p>
    <w:p w:rsidR="00642698" w:rsidRPr="00642698" w:rsidRDefault="00642698" w:rsidP="00D70BBA">
      <w:pPr>
        <w:spacing w:before="200" w:line="240" w:lineRule="auto"/>
        <w:ind w:firstLine="709"/>
        <w:jc w:val="both"/>
        <w:outlineLvl w:val="1"/>
        <w:rPr>
          <w:b/>
        </w:rPr>
      </w:pPr>
      <w:bookmarkStart w:id="13" w:name="_Toc475535814"/>
      <w:r w:rsidRPr="00642698">
        <w:rPr>
          <w:b/>
        </w:rPr>
        <w:t>г) сведения об организации взаимодействия в электронной форме с соискателями лицензии (лицензиатами) в рамках полномочий по лицензированию образовательной деятельности</w:t>
      </w:r>
      <w:bookmarkEnd w:id="11"/>
      <w:bookmarkEnd w:id="12"/>
      <w:bookmarkEnd w:id="13"/>
    </w:p>
    <w:p w:rsidR="00642698" w:rsidRPr="00642698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2698">
        <w:rPr>
          <w:rFonts w:ascii="Times New Roman CYR" w:hAnsi="Times New Roman CYR" w:cs="Times New Roman CYR"/>
        </w:rPr>
        <w:t xml:space="preserve">С целью осуществления процедуры лицензирования образовательной деятельности в электронном виде лицензирующими органами </w:t>
      </w:r>
      <w:r w:rsidRPr="00642698">
        <w:rPr>
          <w:rFonts w:ascii="Times New Roman CYR" w:hAnsi="Times New Roman CYR" w:cs="Times New Roman CYR"/>
          <w:spacing w:val="-3"/>
        </w:rPr>
        <w:t xml:space="preserve">субъектов Российской Федерации </w:t>
      </w:r>
      <w:r w:rsidRPr="00642698">
        <w:rPr>
          <w:rFonts w:ascii="Times New Roman CYR" w:hAnsi="Times New Roman CYR" w:cs="Times New Roman CYR"/>
        </w:rPr>
        <w:t xml:space="preserve">заключаются соглашения об информационном взаимодействии с уполномоченными органами </w:t>
      </w:r>
      <w:r w:rsidRPr="00642698">
        <w:rPr>
          <w:rFonts w:ascii="Times New Roman CYR" w:hAnsi="Times New Roman CYR" w:cs="Times New Roman CYR"/>
          <w:spacing w:val="-3"/>
        </w:rPr>
        <w:t xml:space="preserve">субъектов Российской Федерации </w:t>
      </w:r>
      <w:r w:rsidRPr="00642698">
        <w:rPr>
          <w:rFonts w:ascii="Times New Roman CYR" w:hAnsi="Times New Roman CYR" w:cs="Times New Roman CYR"/>
        </w:rPr>
        <w:t xml:space="preserve">при предоставлении (исполнении) государственных (муниципальных) услуг в электронной форме. Проводится работа по получению сертификатов ключей подписи в удостоверяющих центрах. </w:t>
      </w:r>
    </w:p>
    <w:p w:rsidR="00642698" w:rsidRPr="00642698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2698">
        <w:rPr>
          <w:rFonts w:ascii="Times New Roman CYR" w:hAnsi="Times New Roman CYR" w:cs="Times New Roman CYR"/>
        </w:rPr>
        <w:t xml:space="preserve">Для информационного обеспечения процедуры лицензирования образовательной деятельности в </w:t>
      </w:r>
      <w:r w:rsidR="00913A17" w:rsidRPr="00642698">
        <w:rPr>
          <w:rFonts w:ascii="Times New Roman CYR" w:hAnsi="Times New Roman CYR" w:cs="Times New Roman CYR"/>
          <w:spacing w:val="-3"/>
        </w:rPr>
        <w:t>субъект</w:t>
      </w:r>
      <w:r w:rsidR="00913A17">
        <w:rPr>
          <w:rFonts w:ascii="Times New Roman CYR" w:hAnsi="Times New Roman CYR" w:cs="Times New Roman CYR"/>
          <w:spacing w:val="-3"/>
        </w:rPr>
        <w:t xml:space="preserve">ах </w:t>
      </w:r>
      <w:r w:rsidR="00913A17" w:rsidRPr="00642698">
        <w:rPr>
          <w:rFonts w:ascii="Times New Roman CYR" w:hAnsi="Times New Roman CYR" w:cs="Times New Roman CYR"/>
          <w:spacing w:val="-3"/>
        </w:rPr>
        <w:t xml:space="preserve"> </w:t>
      </w:r>
      <w:r w:rsidRPr="00642698">
        <w:rPr>
          <w:rFonts w:ascii="Times New Roman CYR" w:hAnsi="Times New Roman CYR" w:cs="Times New Roman CYR"/>
          <w:spacing w:val="-3"/>
        </w:rPr>
        <w:t xml:space="preserve">Российской Федерации </w:t>
      </w:r>
      <w:r w:rsidRPr="00642698">
        <w:rPr>
          <w:rFonts w:ascii="Times New Roman CYR" w:hAnsi="Times New Roman CYR" w:cs="Times New Roman CYR"/>
        </w:rPr>
        <w:t>созданы региональные информационные с</w:t>
      </w:r>
      <w:r w:rsidR="00685F55">
        <w:rPr>
          <w:rFonts w:ascii="Times New Roman CYR" w:hAnsi="Times New Roman CYR" w:cs="Times New Roman CYR"/>
        </w:rPr>
        <w:t>истемы, которые предусматривают</w:t>
      </w:r>
      <w:r w:rsidRPr="00642698">
        <w:rPr>
          <w:rFonts w:ascii="Times New Roman CYR" w:hAnsi="Times New Roman CYR" w:cs="Times New Roman CYR"/>
        </w:rPr>
        <w:t>:</w:t>
      </w:r>
    </w:p>
    <w:p w:rsidR="00642698" w:rsidRPr="00642698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2698">
        <w:rPr>
          <w:rFonts w:ascii="Times New Roman CYR" w:hAnsi="Times New Roman CYR" w:cs="Times New Roman CYR"/>
        </w:rPr>
        <w:t xml:space="preserve">направление в электронном виде посредством регионального портала государственных и муниципальных услуг заявления об оказании государственной услуги; </w:t>
      </w:r>
    </w:p>
    <w:p w:rsidR="00642698" w:rsidRPr="00642698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2698">
        <w:rPr>
          <w:rFonts w:ascii="Times New Roman CYR" w:hAnsi="Times New Roman CYR" w:cs="Times New Roman CYR"/>
        </w:rPr>
        <w:t xml:space="preserve">заверение электронной подписью направленных заявлений и прилагаемых к ним документов; </w:t>
      </w:r>
    </w:p>
    <w:p w:rsidR="00642698" w:rsidRPr="00642698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2698">
        <w:rPr>
          <w:rFonts w:ascii="Times New Roman CYR" w:hAnsi="Times New Roman CYR" w:cs="Times New Roman CYR"/>
        </w:rPr>
        <w:t xml:space="preserve">доставку заявления на автоматизированное рабочее место ответственного работника лицензирующего органа; </w:t>
      </w:r>
    </w:p>
    <w:p w:rsidR="00EE4DB7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2698">
        <w:rPr>
          <w:rFonts w:ascii="Times New Roman CYR" w:hAnsi="Times New Roman CYR" w:cs="Times New Roman CYR"/>
        </w:rPr>
        <w:lastRenderedPageBreak/>
        <w:t>направление в личный кабинет заявителя на региональном портале государственных и муниципальных услуг сведений о статусе оказания услуги.</w:t>
      </w:r>
    </w:p>
    <w:p w:rsidR="00642698" w:rsidRDefault="00642698" w:rsidP="00D7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2698">
        <w:rPr>
          <w:rFonts w:ascii="Times New Roman CYR" w:hAnsi="Times New Roman CYR" w:cs="Times New Roman CYR"/>
        </w:rPr>
        <w:t xml:space="preserve"> </w:t>
      </w:r>
    </w:p>
    <w:p w:rsidR="00642698" w:rsidRPr="00E91DE9" w:rsidRDefault="00642698" w:rsidP="00D70BBA">
      <w:pPr>
        <w:spacing w:before="200" w:line="240" w:lineRule="auto"/>
        <w:ind w:firstLine="709"/>
        <w:jc w:val="both"/>
        <w:outlineLvl w:val="1"/>
        <w:rPr>
          <w:b/>
        </w:rPr>
      </w:pPr>
      <w:bookmarkStart w:id="14" w:name="_Toc381000251"/>
      <w:bookmarkStart w:id="15" w:name="_Toc381779670"/>
      <w:bookmarkStart w:id="16" w:name="_Toc475535815"/>
      <w:bookmarkStart w:id="17" w:name="_Toc381000252"/>
      <w:bookmarkStart w:id="18" w:name="_Toc381779671"/>
      <w:r w:rsidRPr="00E91DE9">
        <w:rPr>
          <w:b/>
        </w:rPr>
        <w:t>д)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  <w:bookmarkEnd w:id="14"/>
      <w:bookmarkEnd w:id="15"/>
      <w:bookmarkEnd w:id="16"/>
    </w:p>
    <w:p w:rsidR="00F01806" w:rsidRPr="00CA065E" w:rsidRDefault="00F01806" w:rsidP="00F0180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A065E">
        <w:rPr>
          <w:rFonts w:ascii="Times New Roman CYR" w:hAnsi="Times New Roman CYR" w:cs="Times New Roman CYR"/>
        </w:rPr>
        <w:t>В  201</w:t>
      </w:r>
      <w:r>
        <w:rPr>
          <w:rFonts w:ascii="Times New Roman CYR" w:hAnsi="Times New Roman CYR" w:cs="Times New Roman CYR"/>
        </w:rPr>
        <w:t>7</w:t>
      </w:r>
      <w:r w:rsidRPr="00CA065E">
        <w:rPr>
          <w:rFonts w:ascii="Times New Roman CYR" w:hAnsi="Times New Roman CYR" w:cs="Times New Roman CYR"/>
        </w:rPr>
        <w:t xml:space="preserve"> году лицензирующими органами субъектов Российской Федерации проведен</w:t>
      </w:r>
      <w:r w:rsidR="003A520B">
        <w:rPr>
          <w:rFonts w:ascii="Times New Roman CYR" w:hAnsi="Times New Roman CYR" w:cs="Times New Roman CYR"/>
        </w:rPr>
        <w:t>ы</w:t>
      </w:r>
      <w:r w:rsidRPr="00CA065E">
        <w:rPr>
          <w:rFonts w:ascii="Times New Roman CYR" w:hAnsi="Times New Roman CYR" w:cs="Times New Roman CYR"/>
        </w:rPr>
        <w:t xml:space="preserve"> </w:t>
      </w:r>
      <w:r w:rsidR="00B92A75">
        <w:rPr>
          <w:rFonts w:ascii="Times New Roman CYR" w:hAnsi="Times New Roman CYR" w:cs="Times New Roman CYR"/>
        </w:rPr>
        <w:t>12289</w:t>
      </w:r>
      <w:r w:rsidRPr="00CA065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</w:t>
      </w:r>
      <w:r w:rsidRPr="00CA065E">
        <w:rPr>
          <w:rFonts w:ascii="Times New Roman CYR" w:hAnsi="Times New Roman CYR" w:cs="Times New Roman CYR"/>
        </w:rPr>
        <w:t>ыездн</w:t>
      </w:r>
      <w:r w:rsidR="00B92A75">
        <w:rPr>
          <w:rFonts w:ascii="Times New Roman CYR" w:hAnsi="Times New Roman CYR" w:cs="Times New Roman CYR"/>
        </w:rPr>
        <w:t>ых</w:t>
      </w:r>
      <w:r w:rsidRPr="00CA065E">
        <w:rPr>
          <w:rFonts w:ascii="Times New Roman CYR" w:hAnsi="Times New Roman CYR" w:cs="Times New Roman CYR"/>
        </w:rPr>
        <w:t xml:space="preserve"> провер</w:t>
      </w:r>
      <w:r w:rsidR="00B92A75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к</w:t>
      </w:r>
      <w:r w:rsidRPr="00CA065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(далее </w:t>
      </w:r>
      <w:r w:rsidR="00A50539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проверка) </w:t>
      </w:r>
      <w:r w:rsidRPr="00CA065E">
        <w:rPr>
          <w:rFonts w:ascii="Times New Roman CYR" w:hAnsi="Times New Roman CYR" w:cs="Times New Roman CYR"/>
        </w:rPr>
        <w:t xml:space="preserve">соискателей лицензии и лицензиатов в связи с рассмотрением заявлений </w:t>
      </w:r>
      <w:r w:rsidRPr="00CA065E">
        <w:t xml:space="preserve">о предоставлении и </w:t>
      </w:r>
      <w:r w:rsidRPr="00CA065E">
        <w:rPr>
          <w:rFonts w:ascii="Times New Roman CYR" w:hAnsi="Times New Roman CYR" w:cs="Times New Roman CYR"/>
        </w:rPr>
        <w:t>о переоформлении лицензии</w:t>
      </w:r>
      <w:r>
        <w:rPr>
          <w:rFonts w:ascii="Times New Roman CYR" w:hAnsi="Times New Roman CYR" w:cs="Times New Roman CYR"/>
        </w:rPr>
        <w:t>,</w:t>
      </w:r>
      <w:r w:rsidRPr="00CA065E">
        <w:rPr>
          <w:rFonts w:ascii="Times New Roman CYR" w:hAnsi="Times New Roman CYR" w:cs="Times New Roman CYR"/>
        </w:rPr>
        <w:t xml:space="preserve"> из них </w:t>
      </w:r>
      <w:r w:rsidR="00B92A75">
        <w:rPr>
          <w:rFonts w:ascii="Times New Roman CYR" w:hAnsi="Times New Roman CYR" w:cs="Times New Roman CYR"/>
        </w:rPr>
        <w:t>3720</w:t>
      </w:r>
      <w:r w:rsidRPr="00CA065E">
        <w:rPr>
          <w:rFonts w:ascii="Times New Roman CYR" w:hAnsi="Times New Roman CYR" w:cs="Times New Roman CYR"/>
        </w:rPr>
        <w:t xml:space="preserve"> проверок соискателей лицензии, </w:t>
      </w:r>
      <w:r w:rsidR="00B92A75">
        <w:rPr>
          <w:rFonts w:ascii="Times New Roman CYR" w:hAnsi="Times New Roman CYR" w:cs="Times New Roman CYR"/>
        </w:rPr>
        <w:t xml:space="preserve">8569 </w:t>
      </w:r>
      <w:r w:rsidRPr="00CA065E">
        <w:rPr>
          <w:rFonts w:ascii="Times New Roman CYR" w:hAnsi="Times New Roman CYR" w:cs="Times New Roman CYR"/>
        </w:rPr>
        <w:t>провер</w:t>
      </w:r>
      <w:r w:rsidR="00B92A75">
        <w:rPr>
          <w:rFonts w:ascii="Times New Roman CYR" w:hAnsi="Times New Roman CYR" w:cs="Times New Roman CYR"/>
        </w:rPr>
        <w:t>ок</w:t>
      </w:r>
      <w:r w:rsidRPr="00CA065E">
        <w:rPr>
          <w:rFonts w:ascii="Times New Roman CYR" w:hAnsi="Times New Roman CYR" w:cs="Times New Roman CYR"/>
        </w:rPr>
        <w:t xml:space="preserve"> лицензиатов</w:t>
      </w:r>
      <w:r>
        <w:rPr>
          <w:rFonts w:ascii="Times New Roman CYR" w:hAnsi="Times New Roman CYR" w:cs="Times New Roman CYR"/>
        </w:rPr>
        <w:t>.</w:t>
      </w:r>
      <w:r w:rsidRPr="00CA065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</w:t>
      </w:r>
      <w:r w:rsidRPr="00CA065E">
        <w:rPr>
          <w:rFonts w:ascii="Times New Roman CYR" w:hAnsi="Times New Roman CYR" w:cs="Times New Roman CYR"/>
        </w:rPr>
        <w:t xml:space="preserve"> </w:t>
      </w:r>
      <w:r w:rsidR="00B92A75">
        <w:rPr>
          <w:rFonts w:ascii="Times New Roman CYR" w:hAnsi="Times New Roman CYR" w:cs="Times New Roman CYR"/>
        </w:rPr>
        <w:t xml:space="preserve">2016 году была проведена </w:t>
      </w:r>
      <w:r w:rsidR="00B92A75" w:rsidRPr="00B92A75">
        <w:rPr>
          <w:rFonts w:ascii="Times New Roman CYR" w:hAnsi="Times New Roman CYR" w:cs="Times New Roman CYR"/>
        </w:rPr>
        <w:t>12991 проверка</w:t>
      </w:r>
      <w:r w:rsidR="00B92A75">
        <w:rPr>
          <w:rFonts w:ascii="Times New Roman CYR" w:hAnsi="Times New Roman CYR" w:cs="Times New Roman CYR"/>
        </w:rPr>
        <w:t xml:space="preserve"> (</w:t>
      </w:r>
      <w:r w:rsidR="00B92A75" w:rsidRPr="00B92A75">
        <w:rPr>
          <w:rFonts w:ascii="Times New Roman CYR" w:hAnsi="Times New Roman CYR" w:cs="Times New Roman CYR"/>
        </w:rPr>
        <w:t>4689 проверок соискателей лицензии, 8302 проверки лицензиатов</w:t>
      </w:r>
      <w:r w:rsidR="001C35B3">
        <w:rPr>
          <w:rFonts w:ascii="Times New Roman CYR" w:hAnsi="Times New Roman CYR" w:cs="Times New Roman CYR"/>
        </w:rPr>
        <w:t xml:space="preserve">) </w:t>
      </w:r>
      <w:r w:rsidRPr="00CA065E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р</w:t>
      </w:r>
      <w:r w:rsidRPr="00CA065E">
        <w:rPr>
          <w:rFonts w:ascii="Times New Roman CYR" w:hAnsi="Times New Roman CYR" w:cs="Times New Roman CYR"/>
        </w:rPr>
        <w:t>ис</w:t>
      </w:r>
      <w:r>
        <w:rPr>
          <w:rFonts w:ascii="Times New Roman CYR" w:hAnsi="Times New Roman CYR" w:cs="Times New Roman CYR"/>
        </w:rPr>
        <w:t>.</w:t>
      </w:r>
      <w:r w:rsidRPr="00CA065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</w:t>
      </w:r>
      <w:r w:rsidRPr="00CA065E">
        <w:rPr>
          <w:rFonts w:ascii="Times New Roman CYR" w:hAnsi="Times New Roman CYR" w:cs="Times New Roman CYR"/>
        </w:rPr>
        <w:t xml:space="preserve">). </w:t>
      </w:r>
    </w:p>
    <w:p w:rsidR="00F01806" w:rsidRPr="00CA065E" w:rsidRDefault="00F01806" w:rsidP="00D70B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642698" w:rsidRPr="00642698" w:rsidRDefault="00642698" w:rsidP="0064269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green"/>
        </w:rPr>
      </w:pPr>
    </w:p>
    <w:p w:rsidR="003A23BF" w:rsidRDefault="003A23BF" w:rsidP="0064269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noProof/>
          <w:lang w:eastAsia="ru-RU"/>
        </w:rPr>
        <w:drawing>
          <wp:inline distT="0" distB="0" distL="0" distR="0" wp14:anchorId="2AC16B03" wp14:editId="59332868">
            <wp:extent cx="5636525" cy="2163170"/>
            <wp:effectExtent l="0" t="0" r="2540" b="889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35B3" w:rsidRDefault="001C35B3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42698" w:rsidRPr="006550A8" w:rsidRDefault="002568DB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sz w:val="24"/>
          <w:szCs w:val="24"/>
        </w:rPr>
        <w:t>Рис</w:t>
      </w:r>
      <w:r w:rsidR="00BF63A6" w:rsidRPr="006550A8">
        <w:rPr>
          <w:rFonts w:ascii="Times New Roman CYR" w:hAnsi="Times New Roman CYR" w:cs="Times New Roman CYR"/>
          <w:sz w:val="24"/>
          <w:szCs w:val="24"/>
        </w:rPr>
        <w:t xml:space="preserve">унок </w:t>
      </w:r>
      <w:r w:rsidR="0092304B" w:rsidRPr="006550A8">
        <w:rPr>
          <w:rFonts w:ascii="Times New Roman CYR" w:hAnsi="Times New Roman CYR" w:cs="Times New Roman CYR"/>
          <w:sz w:val="24"/>
          <w:szCs w:val="24"/>
        </w:rPr>
        <w:t>2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>. Количество проверок</w:t>
      </w:r>
    </w:p>
    <w:p w:rsidR="00A74886" w:rsidRDefault="00A74886" w:rsidP="009241C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40213" w:rsidRDefault="00640213" w:rsidP="009241C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42698" w:rsidRPr="00633223" w:rsidRDefault="00642698" w:rsidP="009241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33223">
        <w:t>Результаты проверок отоб</w:t>
      </w:r>
      <w:r w:rsidR="00633223" w:rsidRPr="00633223">
        <w:t xml:space="preserve">ражены в таблице </w:t>
      </w:r>
      <w:r w:rsidRPr="00633223">
        <w:t>2.</w:t>
      </w:r>
    </w:p>
    <w:p w:rsidR="00642698" w:rsidRDefault="00642698" w:rsidP="0064269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:rsidR="00642698" w:rsidRPr="00B33A50" w:rsidRDefault="002568DB" w:rsidP="00642698">
      <w:pPr>
        <w:jc w:val="right"/>
        <w:rPr>
          <w:sz w:val="24"/>
          <w:szCs w:val="24"/>
        </w:rPr>
      </w:pPr>
      <w:r w:rsidRPr="00B33A50">
        <w:rPr>
          <w:sz w:val="24"/>
          <w:szCs w:val="24"/>
        </w:rPr>
        <w:t>Таблица</w:t>
      </w:r>
      <w:r w:rsidR="00642698" w:rsidRPr="00B33A50">
        <w:rPr>
          <w:sz w:val="24"/>
          <w:szCs w:val="24"/>
        </w:rPr>
        <w:t xml:space="preserve"> 2 </w:t>
      </w:r>
    </w:p>
    <w:p w:rsidR="00642698" w:rsidRPr="00633223" w:rsidRDefault="00642698" w:rsidP="00642698">
      <w:pPr>
        <w:spacing w:before="20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33223">
        <w:rPr>
          <w:b/>
          <w:sz w:val="24"/>
          <w:szCs w:val="24"/>
        </w:rPr>
        <w:t>Сведения о результатах проведения проверок соискателей лицензии и лицензиатов в связи с рассмотрением зая</w:t>
      </w:r>
      <w:r w:rsidR="00F53F7E">
        <w:rPr>
          <w:b/>
          <w:sz w:val="24"/>
          <w:szCs w:val="24"/>
        </w:rPr>
        <w:t>влений о предоставлении</w:t>
      </w:r>
      <w:r w:rsidRPr="00633223">
        <w:rPr>
          <w:b/>
          <w:sz w:val="24"/>
          <w:szCs w:val="24"/>
        </w:rPr>
        <w:t xml:space="preserve"> и переоформлении лицензии </w:t>
      </w:r>
      <w:r w:rsidR="00B801BD">
        <w:rPr>
          <w:b/>
          <w:sz w:val="24"/>
          <w:szCs w:val="24"/>
        </w:rPr>
        <w:br/>
      </w:r>
      <w:r w:rsidRPr="00633223">
        <w:rPr>
          <w:rFonts w:ascii="Times New Roman CYR" w:hAnsi="Times New Roman CYR" w:cs="Times New Roman CYR"/>
          <w:b/>
          <w:sz w:val="24"/>
          <w:szCs w:val="24"/>
        </w:rPr>
        <w:t>в 201</w:t>
      </w:r>
      <w:r w:rsidR="001C35B3">
        <w:rPr>
          <w:rFonts w:ascii="Times New Roman CYR" w:hAnsi="Times New Roman CYR" w:cs="Times New Roman CYR"/>
          <w:b/>
          <w:sz w:val="24"/>
          <w:szCs w:val="24"/>
        </w:rPr>
        <w:t>6</w:t>
      </w:r>
      <w:r w:rsidRPr="00633223">
        <w:rPr>
          <w:rFonts w:ascii="Times New Roman CYR" w:hAnsi="Times New Roman CYR" w:cs="Times New Roman CYR"/>
          <w:b/>
          <w:sz w:val="24"/>
          <w:szCs w:val="24"/>
        </w:rPr>
        <w:t>-201</w:t>
      </w:r>
      <w:r w:rsidR="00A74886">
        <w:rPr>
          <w:rFonts w:ascii="Times New Roman CYR" w:hAnsi="Times New Roman CYR" w:cs="Times New Roman CYR"/>
          <w:b/>
          <w:sz w:val="24"/>
          <w:szCs w:val="24"/>
        </w:rPr>
        <w:t>7</w:t>
      </w:r>
      <w:r w:rsidRPr="00633223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99"/>
        <w:gridCol w:w="1987"/>
        <w:gridCol w:w="2126"/>
        <w:gridCol w:w="1911"/>
        <w:gridCol w:w="1917"/>
      </w:tblGrid>
      <w:tr w:rsidR="001C35B3" w:rsidRPr="00633223" w:rsidTr="00DD0BB0">
        <w:trPr>
          <w:trHeight w:val="1"/>
          <w:tblHeader/>
        </w:trPr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C35B3" w:rsidRPr="00F20FCE" w:rsidRDefault="001C35B3" w:rsidP="006426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20FCE">
              <w:rPr>
                <w:b/>
                <w:bCs/>
                <w:sz w:val="22"/>
                <w:szCs w:val="22"/>
              </w:rPr>
              <w:t>Проверки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5B3" w:rsidRPr="00F20FCE" w:rsidRDefault="001C35B3" w:rsidP="00BF28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2"/>
                <w:szCs w:val="22"/>
              </w:rPr>
              <w:t>2016 год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5B3" w:rsidRPr="00F20FCE" w:rsidRDefault="001C35B3" w:rsidP="0010223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7</w:t>
            </w:r>
            <w:r w:rsidRPr="00F20FC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</w:t>
            </w:r>
          </w:p>
        </w:tc>
      </w:tr>
      <w:tr w:rsidR="001C35B3" w:rsidRPr="00633223" w:rsidTr="00DD0BB0">
        <w:trPr>
          <w:trHeight w:val="1"/>
          <w:tblHeader/>
        </w:trPr>
        <w:tc>
          <w:tcPr>
            <w:tcW w:w="169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35B3" w:rsidRPr="00F20FCE" w:rsidRDefault="001C35B3" w:rsidP="006426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F20FCE" w:rsidRDefault="001C35B3" w:rsidP="00BF28B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Выявлено: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F20FCE" w:rsidRDefault="001C35B3" w:rsidP="00DF52C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Выявлено:</w:t>
            </w:r>
          </w:p>
        </w:tc>
      </w:tr>
      <w:tr w:rsidR="001C35B3" w:rsidRPr="00633223" w:rsidTr="00DD0BB0">
        <w:trPr>
          <w:trHeight w:val="1"/>
          <w:tblHeader/>
        </w:trPr>
        <w:tc>
          <w:tcPr>
            <w:tcW w:w="16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5B3" w:rsidRPr="00F20FCE" w:rsidRDefault="001C35B3" w:rsidP="0064269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F20FCE" w:rsidRDefault="001C35B3" w:rsidP="00DF52CB">
            <w:pPr>
              <w:keepNext/>
              <w:autoSpaceDE w:val="0"/>
              <w:autoSpaceDN w:val="0"/>
              <w:adjustRightInd w:val="0"/>
              <w:spacing w:after="0" w:line="240" w:lineRule="auto"/>
              <w:ind w:left="-107" w:right="-18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0"/>
                <w:szCs w:val="22"/>
              </w:rPr>
              <w:t>соответствие лицензионным требованиям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F20FCE" w:rsidRDefault="001C35B3" w:rsidP="00DF52CB">
            <w:pPr>
              <w:keepNext/>
              <w:autoSpaceDE w:val="0"/>
              <w:autoSpaceDN w:val="0"/>
              <w:adjustRightInd w:val="0"/>
              <w:spacing w:after="0" w:line="240" w:lineRule="auto"/>
              <w:ind w:left="-107" w:right="-18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0"/>
                <w:szCs w:val="22"/>
              </w:rPr>
              <w:t>несоответствие лицензионным требованиям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F20FCE" w:rsidRDefault="001C35B3" w:rsidP="00D8515C">
            <w:pPr>
              <w:keepNext/>
              <w:autoSpaceDE w:val="0"/>
              <w:autoSpaceDN w:val="0"/>
              <w:adjustRightInd w:val="0"/>
              <w:spacing w:after="0" w:line="240" w:lineRule="auto"/>
              <w:ind w:left="-107" w:right="-18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0"/>
                <w:szCs w:val="22"/>
              </w:rPr>
              <w:t>соответствие лицензионным требованиям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F20FCE" w:rsidRDefault="001C35B3" w:rsidP="00D8515C">
            <w:pPr>
              <w:keepNext/>
              <w:autoSpaceDE w:val="0"/>
              <w:autoSpaceDN w:val="0"/>
              <w:adjustRightInd w:val="0"/>
              <w:spacing w:after="0" w:line="240" w:lineRule="auto"/>
              <w:ind w:left="-107" w:right="-18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20FCE">
              <w:rPr>
                <w:rFonts w:ascii="Times New Roman CYR" w:hAnsi="Times New Roman CYR" w:cs="Times New Roman CYR"/>
                <w:b/>
                <w:sz w:val="20"/>
                <w:szCs w:val="22"/>
              </w:rPr>
              <w:t>несоответствие лицензионным требованиям</w:t>
            </w:r>
          </w:p>
        </w:tc>
      </w:tr>
      <w:tr w:rsidR="001C35B3" w:rsidRPr="00633223" w:rsidTr="00DD0BB0">
        <w:trPr>
          <w:trHeight w:val="55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5B3" w:rsidRPr="00633223" w:rsidRDefault="001C35B3" w:rsidP="0064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3223">
              <w:rPr>
                <w:sz w:val="22"/>
                <w:szCs w:val="22"/>
              </w:rPr>
              <w:t xml:space="preserve">соискателей лицензии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DF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DF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F4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3646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64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1C35B3" w:rsidRPr="00633223" w:rsidTr="00DD0BB0">
        <w:trPr>
          <w:trHeight w:val="55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5B3" w:rsidRPr="00633223" w:rsidRDefault="001C35B3" w:rsidP="0064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3223">
              <w:rPr>
                <w:sz w:val="22"/>
                <w:szCs w:val="22"/>
              </w:rPr>
              <w:lastRenderedPageBreak/>
              <w:t>лицензиатов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DF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DF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63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8405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64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1C35B3" w:rsidRPr="00633223" w:rsidTr="00DD0BB0">
        <w:trPr>
          <w:trHeight w:val="55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5B3" w:rsidRPr="00633223" w:rsidRDefault="001C35B3" w:rsidP="006426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322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ИТОГО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DF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DF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63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12051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5B3" w:rsidRPr="00633223" w:rsidRDefault="001C35B3" w:rsidP="0064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</w:t>
            </w:r>
          </w:p>
        </w:tc>
      </w:tr>
    </w:tbl>
    <w:p w:rsidR="00102230" w:rsidRPr="00C4343D" w:rsidRDefault="00102230" w:rsidP="0010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C4343D">
        <w:t>В рамках лицензионного контроля в 201</w:t>
      </w:r>
      <w:r>
        <w:t>7</w:t>
      </w:r>
      <w:r w:rsidRPr="00C4343D">
        <w:t xml:space="preserve"> году лицензирующими органами субъектов Российской Федерации проводились проверки в отношении </w:t>
      </w:r>
      <w:r>
        <w:br/>
        <w:t>11726</w:t>
      </w:r>
      <w:r w:rsidRPr="00F40088">
        <w:t xml:space="preserve"> (</w:t>
      </w:r>
      <w:r w:rsidR="00B41266">
        <w:t>в 2016 году – 12169</w:t>
      </w:r>
      <w:r w:rsidRPr="00F40088">
        <w:t xml:space="preserve">) лицензиатов, в том числе </w:t>
      </w:r>
      <w:r>
        <w:t>9359</w:t>
      </w:r>
      <w:r w:rsidRPr="00250487">
        <w:rPr>
          <w:color w:val="0000FF"/>
        </w:rPr>
        <w:t xml:space="preserve"> </w:t>
      </w:r>
      <w:r w:rsidRPr="00D71F8F">
        <w:t xml:space="preserve">плановых проверок  и  </w:t>
      </w:r>
      <w:r>
        <w:t>2367</w:t>
      </w:r>
      <w:r w:rsidRPr="00D71F8F">
        <w:t xml:space="preserve"> внеплановы</w:t>
      </w:r>
      <w:r>
        <w:t>х</w:t>
      </w:r>
      <w:r w:rsidRPr="00D71F8F">
        <w:t xml:space="preserve"> провер</w:t>
      </w:r>
      <w:r>
        <w:t>о</w:t>
      </w:r>
      <w:r w:rsidRPr="00D71F8F">
        <w:t>к (</w:t>
      </w:r>
      <w:r>
        <w:t>в 2016 году соответственно 9756 и 2413</w:t>
      </w:r>
      <w:r w:rsidRPr="00E723C2">
        <w:t>.</w:t>
      </w:r>
      <w:proofErr w:type="gramEnd"/>
      <w:r w:rsidRPr="00E723C2">
        <w:t xml:space="preserve">  Структура про</w:t>
      </w:r>
      <w:r w:rsidRPr="00D71F8F">
        <w:t>верок</w:t>
      </w:r>
      <w:r w:rsidRPr="00E723C2">
        <w:rPr>
          <w:rFonts w:ascii="Times New Roman CYR" w:hAnsi="Times New Roman CYR" w:cs="Times New Roman CYR"/>
        </w:rPr>
        <w:t>,</w:t>
      </w:r>
      <w:r w:rsidRPr="00C4343D">
        <w:rPr>
          <w:rFonts w:ascii="Times New Roman CYR" w:hAnsi="Times New Roman CYR" w:cs="Times New Roman CYR"/>
        </w:rPr>
        <w:t xml:space="preserve"> проведенных в 201</w:t>
      </w:r>
      <w:r w:rsidR="001C35B3">
        <w:rPr>
          <w:rFonts w:ascii="Times New Roman CYR" w:hAnsi="Times New Roman CYR" w:cs="Times New Roman CYR"/>
        </w:rPr>
        <w:t>7</w:t>
      </w:r>
      <w:r w:rsidRPr="00C4343D">
        <w:rPr>
          <w:rFonts w:ascii="Times New Roman CYR" w:hAnsi="Times New Roman CYR" w:cs="Times New Roman CYR"/>
        </w:rPr>
        <w:t xml:space="preserve"> году</w:t>
      </w:r>
      <w:r w:rsidRPr="00C4343D">
        <w:t xml:space="preserve">, представлена на рисунке </w:t>
      </w:r>
      <w:r>
        <w:t>3</w:t>
      </w:r>
      <w:r w:rsidRPr="00C4343D">
        <w:rPr>
          <w:rFonts w:ascii="Times New Roman CYR" w:hAnsi="Times New Roman CYR" w:cs="Times New Roman CYR"/>
        </w:rPr>
        <w:t>.</w:t>
      </w:r>
    </w:p>
    <w:p w:rsidR="00102230" w:rsidRPr="00C4343D" w:rsidRDefault="00102230" w:rsidP="009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642698" w:rsidRPr="00642698" w:rsidRDefault="003A23BF" w:rsidP="00642698">
      <w:pPr>
        <w:autoSpaceDE w:val="0"/>
        <w:autoSpaceDN w:val="0"/>
        <w:adjustRightInd w:val="0"/>
        <w:spacing w:after="0" w:line="240" w:lineRule="auto"/>
        <w:jc w:val="center"/>
        <w:rPr>
          <w:highlight w:val="green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 wp14:anchorId="1AA20137" wp14:editId="54154FE1">
            <wp:extent cx="4429125" cy="16097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2698" w:rsidRPr="006550A8" w:rsidRDefault="00FE355D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sz w:val="24"/>
          <w:szCs w:val="24"/>
        </w:rPr>
        <w:t>Рисунок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04B" w:rsidRPr="006550A8">
        <w:rPr>
          <w:rFonts w:ascii="Times New Roman CYR" w:hAnsi="Times New Roman CYR" w:cs="Times New Roman CYR"/>
          <w:sz w:val="24"/>
          <w:szCs w:val="24"/>
        </w:rPr>
        <w:t>3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04E1" w:rsidRPr="006550A8">
        <w:rPr>
          <w:rFonts w:ascii="Times New Roman CYR" w:hAnsi="Times New Roman CYR" w:cs="Times New Roman CYR"/>
          <w:sz w:val="24"/>
          <w:szCs w:val="24"/>
        </w:rPr>
        <w:t xml:space="preserve">Соотношение плановых и внеплановых проверок 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>в 201</w:t>
      </w:r>
      <w:r w:rsidR="00102230">
        <w:rPr>
          <w:rFonts w:ascii="Times New Roman CYR" w:hAnsi="Times New Roman CYR" w:cs="Times New Roman CYR"/>
          <w:sz w:val="24"/>
          <w:szCs w:val="24"/>
        </w:rPr>
        <w:t>7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 году</w:t>
      </w:r>
    </w:p>
    <w:p w:rsidR="00B13B80" w:rsidRPr="00C4343D" w:rsidRDefault="00B13B80" w:rsidP="0064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42698" w:rsidRPr="00C4343D" w:rsidRDefault="00642698" w:rsidP="009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>В 201</w:t>
      </w:r>
      <w:r w:rsidR="00102230">
        <w:rPr>
          <w:rFonts w:ascii="Times New Roman CYR" w:hAnsi="Times New Roman CYR" w:cs="Times New Roman CYR"/>
        </w:rPr>
        <w:t>7</w:t>
      </w:r>
      <w:r w:rsidRPr="00C4343D">
        <w:rPr>
          <w:rFonts w:ascii="Times New Roman CYR" w:hAnsi="Times New Roman CYR" w:cs="Times New Roman CYR"/>
        </w:rPr>
        <w:t xml:space="preserve"> году </w:t>
      </w:r>
      <w:r w:rsidR="00ED11B1">
        <w:rPr>
          <w:rFonts w:ascii="Times New Roman CYR" w:hAnsi="Times New Roman CYR" w:cs="Times New Roman CYR"/>
        </w:rPr>
        <w:t xml:space="preserve">доля </w:t>
      </w:r>
      <w:r w:rsidRPr="00C4343D">
        <w:rPr>
          <w:rFonts w:ascii="Times New Roman CYR" w:hAnsi="Times New Roman CYR" w:cs="Times New Roman CYR"/>
        </w:rPr>
        <w:t xml:space="preserve">внеплановых проверок </w:t>
      </w:r>
      <w:r w:rsidR="00377FA8">
        <w:rPr>
          <w:rFonts w:ascii="Times New Roman CYR" w:hAnsi="Times New Roman CYR" w:cs="Times New Roman CYR"/>
        </w:rPr>
        <w:t>практически не изменилась</w:t>
      </w:r>
      <w:r w:rsidRPr="00C4343D">
        <w:rPr>
          <w:rFonts w:ascii="Times New Roman CYR" w:hAnsi="Times New Roman CYR" w:cs="Times New Roman CYR"/>
        </w:rPr>
        <w:t xml:space="preserve"> по сравнению с 201</w:t>
      </w:r>
      <w:r w:rsidR="00102230">
        <w:rPr>
          <w:rFonts w:ascii="Times New Roman CYR" w:hAnsi="Times New Roman CYR" w:cs="Times New Roman CYR"/>
        </w:rPr>
        <w:t>6</w:t>
      </w:r>
      <w:r w:rsidR="00377FA8">
        <w:rPr>
          <w:rFonts w:ascii="Times New Roman CYR" w:hAnsi="Times New Roman CYR" w:cs="Times New Roman CYR"/>
        </w:rPr>
        <w:t xml:space="preserve"> годом.</w:t>
      </w:r>
      <w:r w:rsidRPr="00C4343D">
        <w:rPr>
          <w:rFonts w:ascii="Times New Roman CYR" w:hAnsi="Times New Roman CYR" w:cs="Times New Roman CYR"/>
        </w:rPr>
        <w:t xml:space="preserve"> </w:t>
      </w:r>
    </w:p>
    <w:p w:rsidR="00642698" w:rsidRPr="00C4343D" w:rsidRDefault="00642698" w:rsidP="009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>Сравнительные данные по структуре проверок (по видам)</w:t>
      </w:r>
      <w:r w:rsidR="002912F7">
        <w:rPr>
          <w:rFonts w:ascii="Times New Roman CYR" w:hAnsi="Times New Roman CYR" w:cs="Times New Roman CYR"/>
        </w:rPr>
        <w:t xml:space="preserve"> </w:t>
      </w:r>
      <w:r w:rsidR="00B801BD">
        <w:rPr>
          <w:rFonts w:ascii="Times New Roman CYR" w:hAnsi="Times New Roman CYR" w:cs="Times New Roman CYR"/>
        </w:rPr>
        <w:br/>
      </w:r>
      <w:r w:rsidRPr="00C4343D">
        <w:rPr>
          <w:rFonts w:ascii="Times New Roman CYR" w:hAnsi="Times New Roman CYR" w:cs="Times New Roman CYR"/>
        </w:rPr>
        <w:t>в 201</w:t>
      </w:r>
      <w:r w:rsidR="001C35B3">
        <w:rPr>
          <w:rFonts w:ascii="Times New Roman CYR" w:hAnsi="Times New Roman CYR" w:cs="Times New Roman CYR"/>
        </w:rPr>
        <w:t>6</w:t>
      </w:r>
      <w:r w:rsidRPr="00C4343D">
        <w:rPr>
          <w:rFonts w:ascii="Times New Roman CYR" w:hAnsi="Times New Roman CYR" w:cs="Times New Roman CYR"/>
        </w:rPr>
        <w:t>-201</w:t>
      </w:r>
      <w:r w:rsidR="00102230">
        <w:rPr>
          <w:rFonts w:ascii="Times New Roman CYR" w:hAnsi="Times New Roman CYR" w:cs="Times New Roman CYR"/>
        </w:rPr>
        <w:t>7</w:t>
      </w:r>
      <w:r w:rsidRPr="00C4343D">
        <w:rPr>
          <w:rFonts w:ascii="Times New Roman CYR" w:hAnsi="Times New Roman CYR" w:cs="Times New Roman CYR"/>
        </w:rPr>
        <w:t xml:space="preserve"> годах представлены на </w:t>
      </w:r>
      <w:r w:rsidR="00377FA8">
        <w:rPr>
          <w:rFonts w:ascii="Times New Roman CYR" w:hAnsi="Times New Roman CYR" w:cs="Times New Roman CYR"/>
        </w:rPr>
        <w:t>р</w:t>
      </w:r>
      <w:r w:rsidR="00FE355D">
        <w:rPr>
          <w:rFonts w:ascii="Times New Roman CYR" w:hAnsi="Times New Roman CYR" w:cs="Times New Roman CYR"/>
        </w:rPr>
        <w:t>исун</w:t>
      </w:r>
      <w:r w:rsidR="00377FA8">
        <w:rPr>
          <w:rFonts w:ascii="Times New Roman CYR" w:hAnsi="Times New Roman CYR" w:cs="Times New Roman CYR"/>
        </w:rPr>
        <w:t>ке</w:t>
      </w:r>
      <w:r w:rsidRPr="00C4343D">
        <w:rPr>
          <w:rFonts w:ascii="Times New Roman CYR" w:hAnsi="Times New Roman CYR" w:cs="Times New Roman CYR"/>
        </w:rPr>
        <w:t xml:space="preserve"> </w:t>
      </w:r>
      <w:r w:rsidR="0092304B">
        <w:rPr>
          <w:rFonts w:ascii="Times New Roman CYR" w:hAnsi="Times New Roman CYR" w:cs="Times New Roman CYR"/>
        </w:rPr>
        <w:t>4</w:t>
      </w:r>
      <w:r w:rsidRPr="00C4343D">
        <w:rPr>
          <w:rFonts w:ascii="Times New Roman CYR" w:hAnsi="Times New Roman CYR" w:cs="Times New Roman CYR"/>
        </w:rPr>
        <w:t>.</w:t>
      </w:r>
    </w:p>
    <w:p w:rsidR="00642698" w:rsidRPr="00642698" w:rsidRDefault="00642698" w:rsidP="009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green"/>
        </w:rPr>
      </w:pPr>
    </w:p>
    <w:p w:rsidR="00642698" w:rsidRPr="00642698" w:rsidRDefault="003A23BF" w:rsidP="00F2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highlight w:val="green"/>
        </w:rPr>
      </w:pPr>
      <w:r>
        <w:rPr>
          <w:rFonts w:ascii="Times New Roman CYR" w:hAnsi="Times New Roman CYR" w:cs="Times New Roman CYR"/>
          <w:b/>
          <w:noProof/>
          <w:lang w:eastAsia="ru-RU"/>
        </w:rPr>
        <w:drawing>
          <wp:inline distT="0" distB="0" distL="0" distR="0" wp14:anchorId="50A64DB8" wp14:editId="170063AA">
            <wp:extent cx="5505450" cy="1828800"/>
            <wp:effectExtent l="0" t="0" r="0" b="0"/>
            <wp:docPr id="8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698" w:rsidRPr="00642698" w:rsidRDefault="00642698" w:rsidP="0064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green"/>
        </w:rPr>
      </w:pPr>
    </w:p>
    <w:p w:rsidR="00642698" w:rsidRPr="006550A8" w:rsidRDefault="00FE355D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sz w:val="24"/>
          <w:szCs w:val="24"/>
        </w:rPr>
        <w:t>Рисунок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04B" w:rsidRPr="006550A8">
        <w:rPr>
          <w:rFonts w:ascii="Times New Roman CYR" w:hAnsi="Times New Roman CYR" w:cs="Times New Roman CYR"/>
          <w:sz w:val="24"/>
          <w:szCs w:val="24"/>
        </w:rPr>
        <w:t>4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C2A2D" w:rsidRPr="006550A8">
        <w:rPr>
          <w:rFonts w:ascii="Times New Roman CYR" w:hAnsi="Times New Roman CYR" w:cs="Times New Roman CYR"/>
          <w:sz w:val="24"/>
          <w:szCs w:val="24"/>
        </w:rPr>
        <w:t>Данные о проведенных плановых и внеплановых проверках в 201</w:t>
      </w:r>
      <w:r w:rsidR="001C35B3">
        <w:rPr>
          <w:rFonts w:ascii="Times New Roman CYR" w:hAnsi="Times New Roman CYR" w:cs="Times New Roman CYR"/>
          <w:sz w:val="24"/>
          <w:szCs w:val="24"/>
        </w:rPr>
        <w:t>6</w:t>
      </w:r>
      <w:r w:rsidR="002C2A2D" w:rsidRPr="006550A8">
        <w:rPr>
          <w:rFonts w:ascii="Times New Roman CYR" w:hAnsi="Times New Roman CYR" w:cs="Times New Roman CYR"/>
          <w:sz w:val="24"/>
          <w:szCs w:val="24"/>
        </w:rPr>
        <w:t>-201</w:t>
      </w:r>
      <w:r w:rsidR="00102230">
        <w:rPr>
          <w:rFonts w:ascii="Times New Roman CYR" w:hAnsi="Times New Roman CYR" w:cs="Times New Roman CYR"/>
          <w:sz w:val="24"/>
          <w:szCs w:val="24"/>
        </w:rPr>
        <w:t>7</w:t>
      </w:r>
      <w:r w:rsidR="002C2A2D" w:rsidRPr="006550A8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D8515C" w:rsidRPr="006550A8">
        <w:rPr>
          <w:rFonts w:ascii="Times New Roman CYR" w:hAnsi="Times New Roman CYR" w:cs="Times New Roman CYR"/>
          <w:sz w:val="24"/>
          <w:szCs w:val="24"/>
        </w:rPr>
        <w:t>одах</w:t>
      </w:r>
    </w:p>
    <w:p w:rsidR="002912F7" w:rsidRDefault="002912F7" w:rsidP="00632CF1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2309FF" w:rsidRDefault="002309FF" w:rsidP="002309FF">
      <w:pPr>
        <w:autoSpaceDE w:val="0"/>
        <w:autoSpaceDN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109 заявлений о проведении внеплановых проверок лицензирующие органы субъектов Российской Федерации согласовывали с органами </w:t>
      </w:r>
      <w:r>
        <w:rPr>
          <w:rFonts w:ascii="Times New Roman CYR" w:hAnsi="Times New Roman CYR" w:cs="Times New Roman CYR"/>
        </w:rPr>
        <w:lastRenderedPageBreak/>
        <w:t>прокуратуры.  При этом по 49 заявлениям был получен отказ в согласовании проведения проверок, что составляет 45% от  общего количества поданных на согласование проверок (в 2016 году – 36%</w:t>
      </w:r>
      <w:r w:rsidR="001C35B3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.</w:t>
      </w:r>
    </w:p>
    <w:p w:rsidR="00667622" w:rsidRDefault="00632CF1" w:rsidP="00640213">
      <w:pPr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640213">
        <w:rPr>
          <w:rFonts w:ascii="Times New Roman CYR" w:hAnsi="Times New Roman CYR" w:cs="Times New Roman CYR"/>
        </w:rPr>
        <w:t xml:space="preserve">В </w:t>
      </w:r>
      <w:r w:rsidR="00DF52CB" w:rsidRPr="00640213">
        <w:rPr>
          <w:rFonts w:ascii="Times New Roman CYR" w:hAnsi="Times New Roman CYR" w:cs="Times New Roman CYR"/>
        </w:rPr>
        <w:t>12</w:t>
      </w:r>
      <w:r w:rsidRPr="00640213">
        <w:rPr>
          <w:rFonts w:ascii="Times New Roman CYR" w:hAnsi="Times New Roman CYR" w:cs="Times New Roman CYR"/>
        </w:rPr>
        <w:t xml:space="preserve"> субъектах Российской Федерации ряд внеплано</w:t>
      </w:r>
      <w:r w:rsidR="00DF52CB" w:rsidRPr="00640213">
        <w:rPr>
          <w:rFonts w:ascii="Times New Roman CYR" w:hAnsi="Times New Roman CYR" w:cs="Times New Roman CYR"/>
        </w:rPr>
        <w:t>вых проверок  не был согласован</w:t>
      </w:r>
      <w:r w:rsidRPr="00640213">
        <w:rPr>
          <w:rFonts w:ascii="Times New Roman CYR" w:hAnsi="Times New Roman CYR" w:cs="Times New Roman CYR"/>
        </w:rPr>
        <w:t xml:space="preserve"> с органами прокуратуры: </w:t>
      </w:r>
      <w:proofErr w:type="gramStart"/>
      <w:r w:rsidR="00DF52CB" w:rsidRPr="00640213">
        <w:rPr>
          <w:rFonts w:ascii="Times New Roman CYR" w:hAnsi="Times New Roman CYR" w:cs="Times New Roman CYR"/>
        </w:rPr>
        <w:t>Республика Башкортостан</w:t>
      </w:r>
      <w:r w:rsidRPr="00640213">
        <w:rPr>
          <w:rFonts w:ascii="Times New Roman CYR" w:hAnsi="Times New Roman CYR" w:cs="Times New Roman CYR"/>
        </w:rPr>
        <w:t xml:space="preserve">, </w:t>
      </w:r>
      <w:r w:rsidR="00DF52CB" w:rsidRPr="00640213">
        <w:rPr>
          <w:rFonts w:ascii="Times New Roman CYR" w:hAnsi="Times New Roman CYR" w:cs="Times New Roman CYR"/>
        </w:rPr>
        <w:t xml:space="preserve">Самарская </w:t>
      </w:r>
      <w:r w:rsidR="00DF52CB" w:rsidRPr="002A0FA6">
        <w:rPr>
          <w:rFonts w:ascii="Times New Roman CYR" w:hAnsi="Times New Roman CYR" w:cs="Times New Roman CYR"/>
        </w:rPr>
        <w:t>область</w:t>
      </w:r>
      <w:r>
        <w:rPr>
          <w:rFonts w:ascii="Times New Roman CYR" w:hAnsi="Times New Roman CYR" w:cs="Times New Roman CYR"/>
        </w:rPr>
        <w:t xml:space="preserve">, </w:t>
      </w:r>
      <w:r w:rsidR="00121BB8">
        <w:rPr>
          <w:rFonts w:ascii="Times New Roman CYR" w:hAnsi="Times New Roman CYR" w:cs="Times New Roman CYR"/>
        </w:rPr>
        <w:t xml:space="preserve">Чувашская Республика – </w:t>
      </w:r>
      <w:r w:rsidR="00DF52CB" w:rsidRPr="002A0FA6">
        <w:rPr>
          <w:rFonts w:ascii="Times New Roman CYR" w:hAnsi="Times New Roman CYR" w:cs="Times New Roman CYR"/>
        </w:rPr>
        <w:t>Чувашия</w:t>
      </w:r>
      <w:r>
        <w:rPr>
          <w:rFonts w:ascii="Times New Roman CYR" w:hAnsi="Times New Roman CYR" w:cs="Times New Roman CYR"/>
        </w:rPr>
        <w:t xml:space="preserve">, </w:t>
      </w:r>
      <w:r w:rsidR="00DF52CB" w:rsidRPr="002A0FA6">
        <w:rPr>
          <w:rFonts w:ascii="Times New Roman CYR" w:hAnsi="Times New Roman CYR" w:cs="Times New Roman CYR"/>
        </w:rPr>
        <w:t>Республика Коми</w:t>
      </w:r>
      <w:r>
        <w:rPr>
          <w:rFonts w:ascii="Times New Roman CYR" w:hAnsi="Times New Roman CYR" w:cs="Times New Roman CYR"/>
        </w:rPr>
        <w:t xml:space="preserve">, </w:t>
      </w:r>
      <w:r w:rsidR="00DF52CB" w:rsidRPr="002A0FA6">
        <w:rPr>
          <w:rFonts w:ascii="Times New Roman CYR" w:hAnsi="Times New Roman CYR" w:cs="Times New Roman CYR"/>
        </w:rPr>
        <w:t>Алтайский край</w:t>
      </w:r>
      <w:r>
        <w:rPr>
          <w:rFonts w:ascii="Times New Roman CYR" w:hAnsi="Times New Roman CYR" w:cs="Times New Roman CYR"/>
        </w:rPr>
        <w:t xml:space="preserve">, </w:t>
      </w:r>
      <w:r w:rsidR="00DF52CB" w:rsidRPr="002A0FA6">
        <w:rPr>
          <w:rFonts w:ascii="Times New Roman CYR" w:hAnsi="Times New Roman CYR" w:cs="Times New Roman CYR"/>
        </w:rPr>
        <w:t>Забайкальский край</w:t>
      </w:r>
      <w:r>
        <w:rPr>
          <w:rFonts w:ascii="Times New Roman CYR" w:hAnsi="Times New Roman CYR" w:cs="Times New Roman CYR"/>
        </w:rPr>
        <w:t xml:space="preserve">, </w:t>
      </w:r>
      <w:r w:rsidR="00DF52CB" w:rsidRPr="002A0FA6">
        <w:rPr>
          <w:rFonts w:ascii="Times New Roman CYR" w:hAnsi="Times New Roman CYR" w:cs="Times New Roman CYR"/>
        </w:rPr>
        <w:t>Кемеровская область</w:t>
      </w:r>
      <w:r>
        <w:rPr>
          <w:rFonts w:ascii="Times New Roman CYR" w:hAnsi="Times New Roman CYR" w:cs="Times New Roman CYR"/>
        </w:rPr>
        <w:t xml:space="preserve">, </w:t>
      </w:r>
      <w:r w:rsidR="00DF52CB" w:rsidRPr="002A0FA6">
        <w:rPr>
          <w:rFonts w:ascii="Times New Roman CYR" w:hAnsi="Times New Roman CYR" w:cs="Times New Roman CYR"/>
        </w:rPr>
        <w:t>Новосибирская область</w:t>
      </w:r>
      <w:r>
        <w:rPr>
          <w:rFonts w:ascii="Times New Roman CYR" w:hAnsi="Times New Roman CYR" w:cs="Times New Roman CYR"/>
        </w:rPr>
        <w:t xml:space="preserve">, </w:t>
      </w:r>
      <w:r w:rsidR="00DF52CB" w:rsidRPr="002A0FA6">
        <w:rPr>
          <w:rFonts w:ascii="Times New Roman CYR" w:hAnsi="Times New Roman CYR" w:cs="Times New Roman CYR"/>
        </w:rPr>
        <w:t>Омская область</w:t>
      </w:r>
      <w:r>
        <w:rPr>
          <w:rFonts w:ascii="Times New Roman CYR" w:hAnsi="Times New Roman CYR" w:cs="Times New Roman CYR"/>
        </w:rPr>
        <w:t xml:space="preserve">, </w:t>
      </w:r>
      <w:r w:rsidR="00DF52CB" w:rsidRPr="002A0FA6">
        <w:rPr>
          <w:rFonts w:ascii="Times New Roman CYR" w:hAnsi="Times New Roman CYR" w:cs="Times New Roman CYR"/>
        </w:rPr>
        <w:t>Белгородская область</w:t>
      </w:r>
      <w:r>
        <w:rPr>
          <w:rFonts w:ascii="Times New Roman CYR" w:hAnsi="Times New Roman CYR" w:cs="Times New Roman CYR"/>
        </w:rPr>
        <w:t xml:space="preserve">, </w:t>
      </w:r>
      <w:r w:rsidR="002A0FA6" w:rsidRPr="002A0FA6">
        <w:rPr>
          <w:rFonts w:ascii="Times New Roman CYR" w:hAnsi="Times New Roman CYR" w:cs="Times New Roman CYR"/>
        </w:rPr>
        <w:t>г. Москва</w:t>
      </w:r>
      <w:r>
        <w:rPr>
          <w:rFonts w:ascii="Times New Roman CYR" w:hAnsi="Times New Roman CYR" w:cs="Times New Roman CYR"/>
        </w:rPr>
        <w:t xml:space="preserve">, </w:t>
      </w:r>
      <w:r w:rsidR="002A0FA6" w:rsidRPr="002A0FA6">
        <w:rPr>
          <w:rFonts w:ascii="Times New Roman CYR" w:hAnsi="Times New Roman CYR" w:cs="Times New Roman CYR"/>
        </w:rPr>
        <w:t>Волгоградская область.</w:t>
      </w:r>
      <w:r w:rsidR="002A0FA6">
        <w:rPr>
          <w:rFonts w:ascii="Times New Roman CYR" w:hAnsi="Times New Roman CYR" w:cs="Times New Roman CYR"/>
        </w:rPr>
        <w:t xml:space="preserve"> </w:t>
      </w:r>
      <w:proofErr w:type="gramEnd"/>
    </w:p>
    <w:p w:rsidR="004B59E8" w:rsidRPr="00C4343D" w:rsidRDefault="004B59E8" w:rsidP="004B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 xml:space="preserve">Основаниями </w:t>
      </w:r>
      <w:r>
        <w:rPr>
          <w:rFonts w:ascii="Times New Roman CYR" w:hAnsi="Times New Roman CYR" w:cs="Times New Roman CYR"/>
        </w:rPr>
        <w:t xml:space="preserve">для </w:t>
      </w:r>
      <w:r w:rsidRPr="00C4343D">
        <w:rPr>
          <w:rFonts w:ascii="Times New Roman CYR" w:hAnsi="Times New Roman CYR" w:cs="Times New Roman CYR"/>
        </w:rPr>
        <w:t>проведения внеплановых проверок в 201</w:t>
      </w:r>
      <w:r w:rsidR="002A0FA6">
        <w:rPr>
          <w:rFonts w:ascii="Times New Roman CYR" w:hAnsi="Times New Roman CYR" w:cs="Times New Roman CYR"/>
        </w:rPr>
        <w:t>7</w:t>
      </w:r>
      <w:r w:rsidRPr="00C4343D">
        <w:rPr>
          <w:rFonts w:ascii="Times New Roman CYR" w:hAnsi="Times New Roman CYR" w:cs="Times New Roman CYR"/>
        </w:rPr>
        <w:t xml:space="preserve"> году являлись:</w:t>
      </w:r>
    </w:p>
    <w:p w:rsidR="002A0FA6" w:rsidRPr="00C94D40" w:rsidRDefault="002A0FA6" w:rsidP="002A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C4343D">
        <w:rPr>
          <w:rFonts w:ascii="Times New Roman CYR" w:hAnsi="Times New Roman CYR" w:cs="Times New Roman CYR"/>
        </w:rPr>
        <w:t xml:space="preserve"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– </w:t>
      </w:r>
      <w:r>
        <w:rPr>
          <w:rFonts w:ascii="Times New Roman CYR" w:hAnsi="Times New Roman CYR" w:cs="Times New Roman CYR"/>
        </w:rPr>
        <w:t>1927</w:t>
      </w:r>
      <w:r w:rsidRPr="0021076B">
        <w:rPr>
          <w:rFonts w:ascii="Times New Roman CYR" w:hAnsi="Times New Roman CYR" w:cs="Times New Roman CYR"/>
        </w:rPr>
        <w:t xml:space="preserve"> проверок (8</w:t>
      </w:r>
      <w:r>
        <w:rPr>
          <w:rFonts w:ascii="Times New Roman CYR" w:hAnsi="Times New Roman CYR" w:cs="Times New Roman CYR"/>
        </w:rPr>
        <w:t>1</w:t>
      </w:r>
      <w:r w:rsidRPr="0021076B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21076B">
        <w:rPr>
          <w:rFonts w:ascii="Times New Roman CYR" w:hAnsi="Times New Roman CYR" w:cs="Times New Roman CYR"/>
        </w:rPr>
        <w:t>%) (</w:t>
      </w:r>
      <w:r>
        <w:rPr>
          <w:rFonts w:ascii="Times New Roman CYR" w:hAnsi="Times New Roman CYR" w:cs="Times New Roman CYR"/>
        </w:rPr>
        <w:t>в 2016 году</w:t>
      </w:r>
      <w:r w:rsidR="00B41266">
        <w:rPr>
          <w:rFonts w:ascii="Times New Roman CYR" w:hAnsi="Times New Roman CYR" w:cs="Times New Roman CYR"/>
        </w:rPr>
        <w:t xml:space="preserve"> – 2095 (86,8%)</w:t>
      </w:r>
      <w:r w:rsidRPr="0021076B">
        <w:rPr>
          <w:rFonts w:ascii="Times New Roman CYR" w:hAnsi="Times New Roman CYR" w:cs="Times New Roman CYR"/>
        </w:rPr>
        <w:t>);</w:t>
      </w:r>
    </w:p>
    <w:p w:rsidR="00CE3D0A" w:rsidRPr="00C4343D" w:rsidRDefault="00CE3D0A" w:rsidP="007D78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C66402">
        <w:rPr>
          <w:rFonts w:ascii="Times New Roman CYR" w:hAnsi="Times New Roman CYR" w:cs="Times New Roman CYR"/>
        </w:rPr>
        <w:t>пос</w:t>
      </w:r>
      <w:r w:rsidRPr="00E06932">
        <w:rPr>
          <w:rFonts w:ascii="Times New Roman CYR" w:hAnsi="Times New Roman CYR" w:cs="Times New Roman CYR"/>
        </w:rPr>
        <w:t>тупление</w:t>
      </w:r>
      <w:r w:rsidR="007D78CD">
        <w:rPr>
          <w:rFonts w:ascii="Times New Roman CYR" w:hAnsi="Times New Roman CYR" w:cs="Times New Roman CYR"/>
        </w:rPr>
        <w:t xml:space="preserve"> </w:t>
      </w:r>
      <w:r w:rsidRPr="00E06932">
        <w:rPr>
          <w:rFonts w:ascii="Times New Roman CYR" w:hAnsi="Times New Roman CYR" w:cs="Times New Roman CYR"/>
        </w:rPr>
        <w:t xml:space="preserve"> в </w:t>
      </w:r>
      <w:r w:rsidR="007D78CD">
        <w:rPr>
          <w:rFonts w:ascii="Times New Roman CYR" w:hAnsi="Times New Roman CYR" w:cs="Times New Roman CYR"/>
        </w:rPr>
        <w:t xml:space="preserve"> </w:t>
      </w:r>
      <w:r w:rsidRPr="00E06932">
        <w:rPr>
          <w:rFonts w:ascii="Times New Roman CYR" w:hAnsi="Times New Roman CYR" w:cs="Times New Roman CYR"/>
        </w:rPr>
        <w:t>лицензирующий</w:t>
      </w:r>
      <w:r w:rsidR="007D78CD">
        <w:rPr>
          <w:rFonts w:ascii="Times New Roman CYR" w:hAnsi="Times New Roman CYR" w:cs="Times New Roman CYR"/>
        </w:rPr>
        <w:t xml:space="preserve"> </w:t>
      </w:r>
      <w:r w:rsidRPr="00E06932">
        <w:rPr>
          <w:rFonts w:ascii="Times New Roman CYR" w:hAnsi="Times New Roman CYR" w:cs="Times New Roman CYR"/>
        </w:rPr>
        <w:t xml:space="preserve"> орган</w:t>
      </w:r>
      <w:r w:rsidR="007D78CD">
        <w:rPr>
          <w:rFonts w:ascii="Times New Roman CYR" w:hAnsi="Times New Roman CYR" w:cs="Times New Roman CYR"/>
        </w:rPr>
        <w:t xml:space="preserve"> </w:t>
      </w:r>
      <w:r w:rsidRPr="00E06932">
        <w:rPr>
          <w:rFonts w:ascii="Times New Roman CYR" w:hAnsi="Times New Roman CYR" w:cs="Times New Roman CYR"/>
        </w:rPr>
        <w:t xml:space="preserve"> обращений, заявлений </w:t>
      </w:r>
      <w:r w:rsidR="007D78CD">
        <w:rPr>
          <w:rFonts w:ascii="Times New Roman CYR" w:hAnsi="Times New Roman CYR" w:cs="Times New Roman CYR"/>
        </w:rPr>
        <w:t xml:space="preserve"> </w:t>
      </w:r>
      <w:r w:rsidRPr="00E06932">
        <w:rPr>
          <w:rFonts w:ascii="Times New Roman CYR" w:hAnsi="Times New Roman CYR" w:cs="Times New Roman CYR"/>
        </w:rPr>
        <w:t xml:space="preserve">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</w:t>
      </w:r>
      <w:r w:rsidRPr="00D31924">
        <w:rPr>
          <w:rFonts w:ascii="Times New Roman CYR" w:hAnsi="Times New Roman CYR" w:cs="Times New Roman CYR"/>
        </w:rPr>
        <w:t xml:space="preserve">лицензиатом лицензионных </w:t>
      </w:r>
      <w:r w:rsidRPr="00632CF1">
        <w:rPr>
          <w:rFonts w:ascii="Times New Roman CYR" w:hAnsi="Times New Roman CYR" w:cs="Times New Roman CYR"/>
        </w:rPr>
        <w:t>требований</w:t>
      </w:r>
      <w:r w:rsidRPr="00632CF1">
        <w:rPr>
          <w:rFonts w:ascii="Times New Roman CYR" w:hAnsi="Times New Roman CYR" w:cs="Times New Roman CYR"/>
        </w:rPr>
        <w:tab/>
        <w:t xml:space="preserve"> – </w:t>
      </w:r>
      <w:r w:rsidR="007D78CD">
        <w:rPr>
          <w:rFonts w:ascii="Times New Roman CYR" w:hAnsi="Times New Roman CYR" w:cs="Times New Roman CYR"/>
        </w:rPr>
        <w:t xml:space="preserve"> 96</w:t>
      </w:r>
      <w:r w:rsidRPr="00632CF1">
        <w:rPr>
          <w:rFonts w:ascii="Times New Roman CYR" w:hAnsi="Times New Roman CYR" w:cs="Times New Roman CYR"/>
        </w:rPr>
        <w:t xml:space="preserve"> провер</w:t>
      </w:r>
      <w:r w:rsidR="007D78CD">
        <w:rPr>
          <w:rFonts w:ascii="Times New Roman CYR" w:hAnsi="Times New Roman CYR" w:cs="Times New Roman CYR"/>
        </w:rPr>
        <w:t>о</w:t>
      </w:r>
      <w:r w:rsidRPr="00632CF1">
        <w:rPr>
          <w:rFonts w:ascii="Times New Roman CYR" w:hAnsi="Times New Roman CYR" w:cs="Times New Roman CYR"/>
        </w:rPr>
        <w:t>к</w:t>
      </w:r>
      <w:r w:rsidRPr="00D31924">
        <w:rPr>
          <w:rFonts w:ascii="Times New Roman CYR" w:hAnsi="Times New Roman CYR" w:cs="Times New Roman CYR"/>
        </w:rPr>
        <w:t xml:space="preserve"> (</w:t>
      </w:r>
      <w:r w:rsidR="007D78CD">
        <w:rPr>
          <w:rFonts w:ascii="Times New Roman CYR" w:hAnsi="Times New Roman CYR" w:cs="Times New Roman CYR"/>
        </w:rPr>
        <w:t>4,1</w:t>
      </w:r>
      <w:r w:rsidRPr="00D31924">
        <w:rPr>
          <w:rFonts w:ascii="Times New Roman CYR" w:hAnsi="Times New Roman CYR" w:cs="Times New Roman CYR"/>
        </w:rPr>
        <w:t>%) (</w:t>
      </w:r>
      <w:r w:rsidR="007D78CD">
        <w:rPr>
          <w:rFonts w:ascii="Times New Roman CYR" w:hAnsi="Times New Roman CYR" w:cs="Times New Roman CYR"/>
        </w:rPr>
        <w:t>в 20</w:t>
      </w:r>
      <w:r w:rsidR="001C35B3">
        <w:rPr>
          <w:rFonts w:ascii="Times New Roman CYR" w:hAnsi="Times New Roman CYR" w:cs="Times New Roman CYR"/>
        </w:rPr>
        <w:t>16 году – 181 проверка (7,5%));</w:t>
      </w:r>
    </w:p>
    <w:p w:rsidR="007D78CD" w:rsidRPr="00C4343D" w:rsidRDefault="007D78CD" w:rsidP="007D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 xml:space="preserve">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 </w:t>
      </w:r>
      <w:r w:rsidRPr="00DF7D6F">
        <w:rPr>
          <w:rFonts w:ascii="Times New Roman CYR" w:hAnsi="Times New Roman CYR" w:cs="Times New Roman CYR"/>
        </w:rPr>
        <w:t xml:space="preserve">– </w:t>
      </w:r>
      <w:r>
        <w:rPr>
          <w:rFonts w:ascii="Times New Roman CYR" w:hAnsi="Times New Roman CYR" w:cs="Times New Roman CYR"/>
        </w:rPr>
        <w:t>123</w:t>
      </w:r>
      <w:r w:rsidRPr="00C4343D">
        <w:rPr>
          <w:rFonts w:ascii="Times New Roman CYR" w:hAnsi="Times New Roman CYR" w:cs="Times New Roman CYR"/>
        </w:rPr>
        <w:t xml:space="preserve"> провер</w:t>
      </w:r>
      <w:r>
        <w:rPr>
          <w:rFonts w:ascii="Times New Roman CYR" w:hAnsi="Times New Roman CYR" w:cs="Times New Roman CYR"/>
        </w:rPr>
        <w:t>ки</w:t>
      </w:r>
      <w:r w:rsidRPr="00C4343D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5,2</w:t>
      </w:r>
      <w:r w:rsidRPr="00C4343D">
        <w:rPr>
          <w:rFonts w:ascii="Times New Roman CYR" w:hAnsi="Times New Roman CYR" w:cs="Times New Roman CYR"/>
        </w:rPr>
        <w:t xml:space="preserve">%) </w:t>
      </w:r>
      <w:r w:rsidRPr="00C4343D">
        <w:rPr>
          <w:rFonts w:ascii="Times New Roman CYR" w:hAnsi="Times New Roman CYR" w:cs="Times New Roman CYR"/>
        </w:rPr>
        <w:br/>
        <w:t>(</w:t>
      </w:r>
      <w:r>
        <w:rPr>
          <w:rFonts w:ascii="Times New Roman CYR" w:hAnsi="Times New Roman CYR" w:cs="Times New Roman CYR"/>
        </w:rPr>
        <w:t xml:space="preserve">в </w:t>
      </w:r>
      <w:r w:rsidR="00B41266">
        <w:rPr>
          <w:rFonts w:ascii="Times New Roman CYR" w:hAnsi="Times New Roman CYR" w:cs="Times New Roman CYR"/>
        </w:rPr>
        <w:t>2016 году – 109 проверок (4,5%)</w:t>
      </w:r>
      <w:r w:rsidRPr="00C4343D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(рис.5).</w:t>
      </w:r>
    </w:p>
    <w:p w:rsidR="00642698" w:rsidRPr="00421A42" w:rsidRDefault="00642698" w:rsidP="0064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42698" w:rsidRPr="00C4343D" w:rsidRDefault="003A23BF" w:rsidP="00642698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 wp14:anchorId="04FC1FBE" wp14:editId="575A6B3A">
            <wp:extent cx="5915025" cy="2181225"/>
            <wp:effectExtent l="0" t="0" r="9525" b="9525"/>
            <wp:docPr id="9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2698" w:rsidRPr="006550A8" w:rsidRDefault="00FE355D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sz w:val="24"/>
          <w:szCs w:val="24"/>
        </w:rPr>
        <w:t>Рисунок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04B" w:rsidRPr="006550A8">
        <w:rPr>
          <w:rFonts w:ascii="Times New Roman CYR" w:hAnsi="Times New Roman CYR" w:cs="Times New Roman CYR"/>
          <w:sz w:val="24"/>
          <w:szCs w:val="24"/>
        </w:rPr>
        <w:t>5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>. Основания проведения внеплановых проверок</w:t>
      </w:r>
    </w:p>
    <w:p w:rsidR="00642698" w:rsidRPr="00C4343D" w:rsidRDefault="00642698" w:rsidP="00642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14A97" w:rsidRPr="005D4A49" w:rsidRDefault="00414A97" w:rsidP="00414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5D4A49">
        <w:rPr>
          <w:rFonts w:ascii="Times New Roman CYR" w:hAnsi="Times New Roman CYR" w:cs="Times New Roman CYR"/>
        </w:rPr>
        <w:t xml:space="preserve">Нарушения лицензионных требований были выявлены при проведении </w:t>
      </w:r>
      <w:r>
        <w:rPr>
          <w:rFonts w:ascii="Times New Roman CYR" w:hAnsi="Times New Roman CYR" w:cs="Times New Roman CYR"/>
        </w:rPr>
        <w:t>1882</w:t>
      </w:r>
      <w:r w:rsidRPr="005D4A49">
        <w:rPr>
          <w:rFonts w:ascii="Times New Roman CYR" w:hAnsi="Times New Roman CYR" w:cs="Times New Roman CYR"/>
        </w:rPr>
        <w:t xml:space="preserve"> проверок: </w:t>
      </w:r>
      <w:r>
        <w:rPr>
          <w:rFonts w:ascii="Times New Roman CYR" w:hAnsi="Times New Roman CYR" w:cs="Times New Roman CYR"/>
        </w:rPr>
        <w:t>1630</w:t>
      </w:r>
      <w:r w:rsidRPr="005D4A49">
        <w:rPr>
          <w:rFonts w:ascii="Times New Roman CYR" w:hAnsi="Times New Roman CYR" w:cs="Times New Roman CYR"/>
        </w:rPr>
        <w:t xml:space="preserve"> плановых и </w:t>
      </w:r>
      <w:r>
        <w:rPr>
          <w:rFonts w:ascii="Times New Roman CYR" w:hAnsi="Times New Roman CYR" w:cs="Times New Roman CYR"/>
        </w:rPr>
        <w:t>252</w:t>
      </w:r>
      <w:r w:rsidRPr="005D4A49">
        <w:rPr>
          <w:rFonts w:ascii="Times New Roman CYR" w:hAnsi="Times New Roman CYR" w:cs="Times New Roman CYR"/>
        </w:rPr>
        <w:t xml:space="preserve"> внеплановых.</w:t>
      </w:r>
    </w:p>
    <w:p w:rsidR="001C2115" w:rsidRPr="005D4A49" w:rsidRDefault="001C2115" w:rsidP="001C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</w:rPr>
      </w:pPr>
      <w:r w:rsidRPr="005D4A49">
        <w:rPr>
          <w:rFonts w:ascii="Times New Roman CYR" w:hAnsi="Times New Roman CYR" w:cs="Times New Roman CYR"/>
        </w:rPr>
        <w:lastRenderedPageBreak/>
        <w:t xml:space="preserve">Грубых нарушений лицензионных требований  по результатам проверок выявлено </w:t>
      </w:r>
      <w:r>
        <w:rPr>
          <w:rFonts w:ascii="Times New Roman CYR" w:hAnsi="Times New Roman CYR" w:cs="Times New Roman CYR"/>
        </w:rPr>
        <w:t>2468</w:t>
      </w:r>
      <w:r w:rsidRPr="005D4A49">
        <w:rPr>
          <w:rFonts w:ascii="Times New Roman CYR" w:hAnsi="Times New Roman CYR" w:cs="Times New Roman CYR"/>
        </w:rPr>
        <w:t xml:space="preserve">, что составило </w:t>
      </w:r>
      <w:r>
        <w:rPr>
          <w:rFonts w:ascii="Times New Roman CYR" w:hAnsi="Times New Roman CYR" w:cs="Times New Roman CYR"/>
        </w:rPr>
        <w:t>63,7</w:t>
      </w:r>
      <w:r w:rsidRPr="005D4A49">
        <w:rPr>
          <w:rFonts w:ascii="Times New Roman CYR" w:hAnsi="Times New Roman CYR" w:cs="Times New Roman CYR"/>
        </w:rPr>
        <w:t>% от всех случаев нарушения лицензионных требований.</w:t>
      </w:r>
    </w:p>
    <w:p w:rsidR="001C2115" w:rsidRDefault="001C2115" w:rsidP="001C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201</w:t>
      </w:r>
      <w:r w:rsidR="003A520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году п</w:t>
      </w:r>
      <w:r w:rsidRPr="005D4A49">
        <w:rPr>
          <w:rFonts w:ascii="Times New Roman CYR" w:hAnsi="Times New Roman CYR" w:cs="Times New Roman CYR"/>
        </w:rPr>
        <w:t xml:space="preserve">о итогам </w:t>
      </w:r>
      <w:r>
        <w:rPr>
          <w:rFonts w:ascii="Times New Roman CYR" w:hAnsi="Times New Roman CYR" w:cs="Times New Roman CYR"/>
        </w:rPr>
        <w:t>911</w:t>
      </w:r>
      <w:r w:rsidRPr="005D4A49">
        <w:rPr>
          <w:rFonts w:ascii="Times New Roman CYR" w:hAnsi="Times New Roman CYR" w:cs="Times New Roman CYR"/>
        </w:rPr>
        <w:t xml:space="preserve"> провер</w:t>
      </w:r>
      <w:r>
        <w:rPr>
          <w:rFonts w:ascii="Times New Roman CYR" w:hAnsi="Times New Roman CYR" w:cs="Times New Roman CYR"/>
        </w:rPr>
        <w:t>ки</w:t>
      </w:r>
      <w:r w:rsidRPr="005D4A49">
        <w:rPr>
          <w:rFonts w:ascii="Times New Roman CYR" w:hAnsi="Times New Roman CYR" w:cs="Times New Roman CYR"/>
        </w:rPr>
        <w:t xml:space="preserve"> </w:t>
      </w:r>
      <w:r w:rsidRPr="005D4A49">
        <w:t>наложен</w:t>
      </w:r>
      <w:r>
        <w:t>ы</w:t>
      </w:r>
      <w:r w:rsidRPr="005D4A4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1109</w:t>
      </w:r>
      <w:r w:rsidRPr="005D4A49">
        <w:rPr>
          <w:rFonts w:ascii="Times New Roman CYR" w:hAnsi="Times New Roman CYR" w:cs="Times New Roman CYR"/>
        </w:rPr>
        <w:t xml:space="preserve"> административных наказаний (в 201</w:t>
      </w:r>
      <w:r>
        <w:rPr>
          <w:rFonts w:ascii="Times New Roman CYR" w:hAnsi="Times New Roman CYR" w:cs="Times New Roman CYR"/>
        </w:rPr>
        <w:t>6</w:t>
      </w:r>
      <w:r w:rsidRPr="005D4A49">
        <w:rPr>
          <w:rFonts w:ascii="Times New Roman CYR" w:hAnsi="Times New Roman CYR" w:cs="Times New Roman CYR"/>
        </w:rPr>
        <w:t xml:space="preserve"> году по итогам </w:t>
      </w:r>
      <w:r>
        <w:rPr>
          <w:rFonts w:ascii="Times New Roman CYR" w:hAnsi="Times New Roman CYR" w:cs="Times New Roman CYR"/>
        </w:rPr>
        <w:t>981</w:t>
      </w:r>
      <w:r w:rsidRPr="005D4A49">
        <w:rPr>
          <w:rFonts w:ascii="Times New Roman CYR" w:hAnsi="Times New Roman CYR" w:cs="Times New Roman CYR"/>
        </w:rPr>
        <w:t xml:space="preserve"> провер</w:t>
      </w:r>
      <w:r>
        <w:rPr>
          <w:rFonts w:ascii="Times New Roman CYR" w:hAnsi="Times New Roman CYR" w:cs="Times New Roman CYR"/>
        </w:rPr>
        <w:t>ки</w:t>
      </w:r>
      <w:r w:rsidRPr="005D4A49">
        <w:t xml:space="preserve"> наложен</w:t>
      </w:r>
      <w:r>
        <w:t>ы</w:t>
      </w:r>
      <w:r w:rsidRPr="005D4A4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br/>
        <w:t>1199</w:t>
      </w:r>
      <w:r w:rsidRPr="005D4A49">
        <w:rPr>
          <w:rFonts w:ascii="Times New Roman CYR" w:hAnsi="Times New Roman CYR" w:cs="Times New Roman CYR"/>
        </w:rPr>
        <w:t xml:space="preserve"> административных наказаний). </w:t>
      </w:r>
      <w:r>
        <w:rPr>
          <w:rFonts w:ascii="Times New Roman CYR" w:hAnsi="Times New Roman CYR" w:cs="Times New Roman CYR"/>
        </w:rPr>
        <w:t>Наложенные а</w:t>
      </w:r>
      <w:r w:rsidRPr="005D4A49">
        <w:rPr>
          <w:rFonts w:ascii="Times New Roman CYR" w:hAnsi="Times New Roman CYR" w:cs="Times New Roman CYR"/>
        </w:rPr>
        <w:t xml:space="preserve">дминистративные наказания по видам представлены на </w:t>
      </w:r>
      <w:r>
        <w:rPr>
          <w:rFonts w:ascii="Times New Roman CYR" w:hAnsi="Times New Roman CYR" w:cs="Times New Roman CYR"/>
        </w:rPr>
        <w:t>р</w:t>
      </w:r>
      <w:r w:rsidRPr="005D4A49">
        <w:rPr>
          <w:rFonts w:ascii="Times New Roman CYR" w:hAnsi="Times New Roman CYR" w:cs="Times New Roman CYR"/>
        </w:rPr>
        <w:t>исун</w:t>
      </w:r>
      <w:r>
        <w:rPr>
          <w:rFonts w:ascii="Times New Roman CYR" w:hAnsi="Times New Roman CYR" w:cs="Times New Roman CYR"/>
        </w:rPr>
        <w:t>ке 6</w:t>
      </w:r>
      <w:r w:rsidRPr="005D4A49">
        <w:rPr>
          <w:rFonts w:ascii="Times New Roman CYR" w:hAnsi="Times New Roman CYR" w:cs="Times New Roman CYR"/>
        </w:rPr>
        <w:t>.</w:t>
      </w:r>
    </w:p>
    <w:p w:rsidR="00B42FBA" w:rsidRPr="005D4A49" w:rsidRDefault="00B42FBA" w:rsidP="005D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 wp14:anchorId="42D07A8B" wp14:editId="52FA049B">
            <wp:extent cx="5188689" cy="2147777"/>
            <wp:effectExtent l="0" t="0" r="12065" b="2413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2698" w:rsidRPr="006550A8" w:rsidRDefault="00FE355D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sz w:val="24"/>
          <w:szCs w:val="24"/>
        </w:rPr>
        <w:t>Рисунок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04B" w:rsidRPr="006550A8">
        <w:rPr>
          <w:rFonts w:ascii="Times New Roman CYR" w:hAnsi="Times New Roman CYR" w:cs="Times New Roman CYR"/>
          <w:sz w:val="24"/>
          <w:szCs w:val="24"/>
        </w:rPr>
        <w:t>6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42FBA" w:rsidRPr="006550A8">
        <w:rPr>
          <w:rFonts w:ascii="Times New Roman CYR" w:hAnsi="Times New Roman CYR" w:cs="Times New Roman CYR"/>
          <w:sz w:val="24"/>
          <w:szCs w:val="24"/>
        </w:rPr>
        <w:t xml:space="preserve">Наложенные </w:t>
      </w:r>
      <w:r w:rsidR="00A11F38" w:rsidRPr="006550A8">
        <w:rPr>
          <w:rFonts w:ascii="Times New Roman CYR" w:hAnsi="Times New Roman CYR" w:cs="Times New Roman CYR"/>
          <w:sz w:val="24"/>
          <w:szCs w:val="24"/>
        </w:rPr>
        <w:t>в 201</w:t>
      </w:r>
      <w:r w:rsidR="000B1200">
        <w:rPr>
          <w:rFonts w:ascii="Times New Roman CYR" w:hAnsi="Times New Roman CYR" w:cs="Times New Roman CYR"/>
          <w:sz w:val="24"/>
          <w:szCs w:val="24"/>
        </w:rPr>
        <w:t>7</w:t>
      </w:r>
      <w:r w:rsidR="00A11F38" w:rsidRPr="006550A8">
        <w:rPr>
          <w:rFonts w:ascii="Times New Roman CYR" w:hAnsi="Times New Roman CYR" w:cs="Times New Roman CYR"/>
          <w:sz w:val="24"/>
          <w:szCs w:val="24"/>
        </w:rPr>
        <w:t xml:space="preserve"> году </w:t>
      </w:r>
      <w:r w:rsidR="00B42FBA" w:rsidRPr="006550A8">
        <w:rPr>
          <w:rFonts w:ascii="Times New Roman CYR" w:hAnsi="Times New Roman CYR" w:cs="Times New Roman CYR"/>
          <w:sz w:val="24"/>
          <w:szCs w:val="24"/>
        </w:rPr>
        <w:t>административные наказания по видам</w:t>
      </w:r>
    </w:p>
    <w:p w:rsidR="00642698" w:rsidRPr="008E5E04" w:rsidRDefault="00642698" w:rsidP="00642698">
      <w:pPr>
        <w:autoSpaceDE w:val="0"/>
        <w:autoSpaceDN w:val="0"/>
        <w:adjustRightInd w:val="0"/>
        <w:spacing w:after="0" w:line="240" w:lineRule="auto"/>
        <w:jc w:val="both"/>
      </w:pPr>
    </w:p>
    <w:p w:rsidR="000B1200" w:rsidRPr="008E5E04" w:rsidRDefault="000B1200" w:rsidP="000B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E5E04">
        <w:rPr>
          <w:rFonts w:ascii="Times New Roman CYR" w:hAnsi="Times New Roman CYR" w:cs="Times New Roman CYR"/>
        </w:rPr>
        <w:t xml:space="preserve">Наиболее распространенным видом наказания </w:t>
      </w:r>
      <w:r>
        <w:rPr>
          <w:rFonts w:ascii="Times New Roman CYR" w:hAnsi="Times New Roman CYR" w:cs="Times New Roman CYR"/>
        </w:rPr>
        <w:t>в 201</w:t>
      </w:r>
      <w:r w:rsidR="004B76DC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году </w:t>
      </w:r>
      <w:r w:rsidRPr="008E5E04">
        <w:rPr>
          <w:rFonts w:ascii="Times New Roman CYR" w:hAnsi="Times New Roman CYR" w:cs="Times New Roman CYR"/>
        </w:rPr>
        <w:t xml:space="preserve">является административный штраф – </w:t>
      </w:r>
      <w:r w:rsidR="004B76DC">
        <w:rPr>
          <w:rFonts w:ascii="Times New Roman CYR" w:hAnsi="Times New Roman CYR" w:cs="Times New Roman CYR"/>
        </w:rPr>
        <w:t>680</w:t>
      </w:r>
      <w:r w:rsidRPr="008E5E04">
        <w:rPr>
          <w:rFonts w:ascii="Times New Roman CYR" w:hAnsi="Times New Roman CYR" w:cs="Times New Roman CYR"/>
        </w:rPr>
        <w:t xml:space="preserve"> случаев (6</w:t>
      </w:r>
      <w:r w:rsidR="004B76DC">
        <w:rPr>
          <w:rFonts w:ascii="Times New Roman CYR" w:hAnsi="Times New Roman CYR" w:cs="Times New Roman CYR"/>
        </w:rPr>
        <w:t>1,3</w:t>
      </w:r>
      <w:r w:rsidRPr="008E5E04">
        <w:rPr>
          <w:rFonts w:ascii="Times New Roman CYR" w:hAnsi="Times New Roman CYR" w:cs="Times New Roman CYR"/>
        </w:rPr>
        <w:t>%) (</w:t>
      </w:r>
      <w:r w:rsidR="004B76DC">
        <w:rPr>
          <w:rFonts w:ascii="Times New Roman CYR" w:hAnsi="Times New Roman CYR" w:cs="Times New Roman CYR"/>
        </w:rPr>
        <w:t>в 2016 году – 62,4</w:t>
      </w:r>
      <w:r w:rsidRPr="008E5E04">
        <w:rPr>
          <w:rFonts w:ascii="Times New Roman CYR" w:hAnsi="Times New Roman CYR" w:cs="Times New Roman CYR"/>
        </w:rPr>
        <w:t>).</w:t>
      </w:r>
    </w:p>
    <w:p w:rsidR="004B76DC" w:rsidRDefault="004B76DC" w:rsidP="004B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>Общая сумма наложенных административных штрафов в 201</w:t>
      </w:r>
      <w:r w:rsidR="00BC60CA">
        <w:rPr>
          <w:rFonts w:ascii="Times New Roman CYR" w:hAnsi="Times New Roman CYR" w:cs="Times New Roman CYR"/>
        </w:rPr>
        <w:t>7</w:t>
      </w:r>
      <w:r w:rsidRPr="00C4343D">
        <w:rPr>
          <w:rFonts w:ascii="Times New Roman CYR" w:hAnsi="Times New Roman CYR" w:cs="Times New Roman CYR"/>
        </w:rPr>
        <w:t xml:space="preserve"> году составила </w:t>
      </w:r>
      <w:r w:rsidR="00BC60CA">
        <w:rPr>
          <w:rFonts w:ascii="Times New Roman CYR" w:hAnsi="Times New Roman CYR" w:cs="Times New Roman CYR"/>
        </w:rPr>
        <w:t>24852</w:t>
      </w:r>
      <w:r w:rsidRPr="00C4343D">
        <w:rPr>
          <w:rFonts w:ascii="Times New Roman CYR" w:hAnsi="Times New Roman CYR" w:cs="Times New Roman CYR"/>
        </w:rPr>
        <w:t xml:space="preserve"> тыс. руб.</w:t>
      </w:r>
      <w:r>
        <w:rPr>
          <w:rFonts w:ascii="Times New Roman CYR" w:hAnsi="Times New Roman CYR" w:cs="Times New Roman CYR"/>
        </w:rPr>
        <w:t xml:space="preserve">, </w:t>
      </w:r>
      <w:r w:rsidRPr="00B33A50">
        <w:rPr>
          <w:rFonts w:ascii="Times New Roman CYR" w:hAnsi="Times New Roman CYR" w:cs="Times New Roman CYR"/>
        </w:rPr>
        <w:t xml:space="preserve">что на </w:t>
      </w:r>
      <w:r w:rsidR="00BC60CA">
        <w:rPr>
          <w:rFonts w:ascii="Times New Roman CYR" w:hAnsi="Times New Roman CYR" w:cs="Times New Roman CYR"/>
        </w:rPr>
        <w:t>3,9</w:t>
      </w:r>
      <w:r w:rsidRPr="00B33A50">
        <w:rPr>
          <w:rFonts w:ascii="Times New Roman CYR" w:hAnsi="Times New Roman CYR" w:cs="Times New Roman CYR"/>
        </w:rPr>
        <w:t>% меньше суммы</w:t>
      </w:r>
      <w:r w:rsidRPr="00B33A50">
        <w:rPr>
          <w:rFonts w:ascii="Times New Roman CYR" w:hAnsi="Times New Roman CYR" w:cs="Times New Roman CYR"/>
          <w:color w:val="000000"/>
        </w:rPr>
        <w:t xml:space="preserve"> наложенных административных штрафов в 201</w:t>
      </w:r>
      <w:r w:rsidR="00BC60CA">
        <w:rPr>
          <w:rFonts w:ascii="Times New Roman CYR" w:hAnsi="Times New Roman CYR" w:cs="Times New Roman CYR"/>
          <w:color w:val="000000"/>
        </w:rPr>
        <w:t>6</w:t>
      </w:r>
      <w:r w:rsidR="00B41266">
        <w:rPr>
          <w:rFonts w:ascii="Times New Roman CYR" w:hAnsi="Times New Roman CYR" w:cs="Times New Roman CYR"/>
          <w:color w:val="000000"/>
        </w:rPr>
        <w:t xml:space="preserve"> году</w:t>
      </w:r>
      <w:r>
        <w:rPr>
          <w:rFonts w:ascii="Times New Roman CYR" w:hAnsi="Times New Roman CYR" w:cs="Times New Roman CYR"/>
          <w:color w:val="000000"/>
        </w:rPr>
        <w:t xml:space="preserve">. </w:t>
      </w:r>
      <w:r>
        <w:rPr>
          <w:rFonts w:ascii="Times New Roman CYR" w:hAnsi="Times New Roman CYR" w:cs="Times New Roman CYR"/>
        </w:rPr>
        <w:t>Б</w:t>
      </w:r>
      <w:r w:rsidRPr="00C4343D">
        <w:rPr>
          <w:rFonts w:ascii="Times New Roman CYR" w:hAnsi="Times New Roman CYR" w:cs="Times New Roman CYR"/>
        </w:rPr>
        <w:t xml:space="preserve">ольшая часть </w:t>
      </w:r>
      <w:r>
        <w:rPr>
          <w:rFonts w:ascii="Times New Roman CYR" w:hAnsi="Times New Roman CYR" w:cs="Times New Roman CYR"/>
        </w:rPr>
        <w:t xml:space="preserve">указанной суммы </w:t>
      </w:r>
      <w:r w:rsidRPr="00C4343D">
        <w:rPr>
          <w:rFonts w:ascii="Times New Roman CYR" w:hAnsi="Times New Roman CYR" w:cs="Times New Roman CYR"/>
        </w:rPr>
        <w:t>приходится на административные штрафы, наложенные п</w:t>
      </w:r>
      <w:r>
        <w:rPr>
          <w:rFonts w:ascii="Times New Roman CYR" w:hAnsi="Times New Roman CYR" w:cs="Times New Roman CYR"/>
        </w:rPr>
        <w:t>о результатам плановых проверок</w:t>
      </w:r>
      <w:r w:rsidRPr="00C4343D">
        <w:rPr>
          <w:rFonts w:ascii="Times New Roman CYR" w:hAnsi="Times New Roman CYR" w:cs="Times New Roman CYR"/>
        </w:rPr>
        <w:t xml:space="preserve"> – </w:t>
      </w:r>
      <w:r w:rsidR="005C1DAF">
        <w:rPr>
          <w:rFonts w:ascii="Times New Roman CYR" w:hAnsi="Times New Roman CYR" w:cs="Times New Roman CYR"/>
        </w:rPr>
        <w:t>22468</w:t>
      </w:r>
      <w:r w:rsidRPr="00C4343D">
        <w:rPr>
          <w:rFonts w:ascii="Times New Roman CYR" w:hAnsi="Times New Roman CYR" w:cs="Times New Roman CYR"/>
        </w:rPr>
        <w:t xml:space="preserve"> тыс. руб. (</w:t>
      </w:r>
      <w:r w:rsidR="005C1DAF">
        <w:rPr>
          <w:rFonts w:ascii="Times New Roman CYR" w:hAnsi="Times New Roman CYR" w:cs="Times New Roman CYR"/>
        </w:rPr>
        <w:t>90,4</w:t>
      </w:r>
      <w:r w:rsidRPr="00C4343D">
        <w:rPr>
          <w:rFonts w:ascii="Times New Roman CYR" w:hAnsi="Times New Roman CYR" w:cs="Times New Roman CYR"/>
        </w:rPr>
        <w:t>%).</w:t>
      </w:r>
    </w:p>
    <w:p w:rsidR="000F3846" w:rsidRDefault="00BC60CA" w:rsidP="000F3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F28BB">
        <w:rPr>
          <w:rFonts w:ascii="Times New Roman CYR" w:hAnsi="Times New Roman CYR" w:cs="Times New Roman CYR"/>
        </w:rPr>
        <w:t xml:space="preserve">Сумма взысканных штрафов </w:t>
      </w:r>
      <w:r>
        <w:rPr>
          <w:rFonts w:ascii="Times New Roman CYR" w:hAnsi="Times New Roman CYR" w:cs="Times New Roman CYR"/>
        </w:rPr>
        <w:t>в 201</w:t>
      </w:r>
      <w:r w:rsidR="000F384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году </w:t>
      </w:r>
      <w:r w:rsidRPr="00BF28BB">
        <w:rPr>
          <w:rFonts w:ascii="Times New Roman CYR" w:hAnsi="Times New Roman CYR" w:cs="Times New Roman CYR"/>
        </w:rPr>
        <w:t xml:space="preserve">составила </w:t>
      </w:r>
      <w:r w:rsidR="000F3846">
        <w:rPr>
          <w:rFonts w:ascii="Times New Roman CYR" w:hAnsi="Times New Roman CYR" w:cs="Times New Roman CYR"/>
        </w:rPr>
        <w:t>22698</w:t>
      </w:r>
      <w:r w:rsidRPr="00BF28BB">
        <w:rPr>
          <w:rFonts w:ascii="Times New Roman CYR" w:hAnsi="Times New Roman CYR" w:cs="Times New Roman CYR"/>
        </w:rPr>
        <w:t xml:space="preserve"> тыс. руб. (</w:t>
      </w:r>
      <w:r w:rsidR="000F3846">
        <w:rPr>
          <w:rFonts w:ascii="Times New Roman CYR" w:hAnsi="Times New Roman CYR" w:cs="Times New Roman CYR"/>
        </w:rPr>
        <w:t>91</w:t>
      </w:r>
      <w:r w:rsidRPr="00BF28BB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3</w:t>
      </w:r>
      <w:r w:rsidRPr="00BF28BB">
        <w:rPr>
          <w:rFonts w:ascii="Times New Roman CYR" w:hAnsi="Times New Roman CYR" w:cs="Times New Roman CYR"/>
        </w:rPr>
        <w:t xml:space="preserve">% от суммы наложенных штрафов), </w:t>
      </w:r>
      <w:r w:rsidR="000F3846">
        <w:rPr>
          <w:rFonts w:ascii="Times New Roman CYR" w:hAnsi="Times New Roman CYR" w:cs="Times New Roman CYR"/>
        </w:rPr>
        <w:t>в 2016 году – 23112 тыс. руб. (89,3%)</w:t>
      </w:r>
      <w:r w:rsidR="00B41266">
        <w:rPr>
          <w:rFonts w:ascii="Times New Roman CYR" w:hAnsi="Times New Roman CYR" w:cs="Times New Roman CYR"/>
        </w:rPr>
        <w:t>.</w:t>
      </w:r>
    </w:p>
    <w:p w:rsidR="00BC60CA" w:rsidRPr="000F3846" w:rsidRDefault="00BC60CA" w:rsidP="000F3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0F3846">
        <w:rPr>
          <w:rFonts w:ascii="Times New Roman CYR" w:hAnsi="Times New Roman CYR" w:cs="Times New Roman CYR"/>
        </w:rPr>
        <w:t>В 201</w:t>
      </w:r>
      <w:r w:rsidR="000F3846" w:rsidRPr="000F3846">
        <w:rPr>
          <w:rFonts w:ascii="Times New Roman CYR" w:hAnsi="Times New Roman CYR" w:cs="Times New Roman CYR"/>
        </w:rPr>
        <w:t>7</w:t>
      </w:r>
      <w:r w:rsidRPr="000F3846">
        <w:rPr>
          <w:rFonts w:ascii="Times New Roman CYR" w:hAnsi="Times New Roman CYR" w:cs="Times New Roman CYR"/>
        </w:rPr>
        <w:t xml:space="preserve"> году наблюдается увеличение доли взысканных штрафов от суммы наложенных административных штрафов на </w:t>
      </w:r>
      <w:r w:rsidR="000F3846" w:rsidRPr="000F3846">
        <w:rPr>
          <w:rFonts w:ascii="Times New Roman CYR" w:hAnsi="Times New Roman CYR" w:cs="Times New Roman CYR"/>
        </w:rPr>
        <w:t xml:space="preserve">2% </w:t>
      </w:r>
      <w:r w:rsidRPr="000F3846">
        <w:rPr>
          <w:rFonts w:ascii="Times New Roman CYR" w:hAnsi="Times New Roman CYR" w:cs="Times New Roman CYR"/>
        </w:rPr>
        <w:t>по сравнению с 201</w:t>
      </w:r>
      <w:r w:rsidR="000F3846" w:rsidRPr="000F3846">
        <w:rPr>
          <w:rFonts w:ascii="Times New Roman CYR" w:hAnsi="Times New Roman CYR" w:cs="Times New Roman CYR"/>
        </w:rPr>
        <w:t>6</w:t>
      </w:r>
      <w:r w:rsidRPr="000F3846">
        <w:rPr>
          <w:rFonts w:ascii="Times New Roman CYR" w:hAnsi="Times New Roman CYR" w:cs="Times New Roman CYR"/>
        </w:rPr>
        <w:t xml:space="preserve"> годом</w:t>
      </w:r>
      <w:r w:rsidR="00B41266">
        <w:rPr>
          <w:rFonts w:ascii="Times New Roman CYR" w:hAnsi="Times New Roman CYR" w:cs="Times New Roman CYR"/>
        </w:rPr>
        <w:t>.</w:t>
      </w:r>
      <w:r w:rsidRPr="000F3846">
        <w:rPr>
          <w:rFonts w:ascii="Times New Roman CYR" w:hAnsi="Times New Roman CYR" w:cs="Times New Roman CYR"/>
        </w:rPr>
        <w:t xml:space="preserve"> </w:t>
      </w:r>
    </w:p>
    <w:p w:rsidR="00BF28BB" w:rsidRDefault="00BF28BB" w:rsidP="00BF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F28BB">
        <w:rPr>
          <w:rFonts w:ascii="Times New Roman CYR" w:hAnsi="Times New Roman CYR" w:cs="Times New Roman CYR"/>
        </w:rPr>
        <w:t xml:space="preserve">На </w:t>
      </w:r>
      <w:r w:rsidR="000D33B2">
        <w:rPr>
          <w:rFonts w:ascii="Times New Roman CYR" w:hAnsi="Times New Roman CYR" w:cs="Times New Roman CYR"/>
        </w:rPr>
        <w:t>р</w:t>
      </w:r>
      <w:r w:rsidRPr="00BF28BB">
        <w:rPr>
          <w:rFonts w:ascii="Times New Roman CYR" w:hAnsi="Times New Roman CYR" w:cs="Times New Roman CYR"/>
        </w:rPr>
        <w:t>исун</w:t>
      </w:r>
      <w:r w:rsidR="000D33B2">
        <w:rPr>
          <w:rFonts w:ascii="Times New Roman CYR" w:hAnsi="Times New Roman CYR" w:cs="Times New Roman CYR"/>
        </w:rPr>
        <w:t>ке</w:t>
      </w:r>
      <w:r w:rsidR="00B82476">
        <w:rPr>
          <w:rFonts w:ascii="Times New Roman CYR" w:hAnsi="Times New Roman CYR" w:cs="Times New Roman CYR"/>
        </w:rPr>
        <w:t xml:space="preserve"> </w:t>
      </w:r>
      <w:r w:rsidR="0092304B">
        <w:rPr>
          <w:rFonts w:ascii="Times New Roman CYR" w:hAnsi="Times New Roman CYR" w:cs="Times New Roman CYR"/>
        </w:rPr>
        <w:t>7</w:t>
      </w:r>
      <w:r w:rsidR="00B82476">
        <w:rPr>
          <w:rFonts w:ascii="Times New Roman CYR" w:hAnsi="Times New Roman CYR" w:cs="Times New Roman CYR"/>
        </w:rPr>
        <w:t xml:space="preserve"> представлено соотношение</w:t>
      </w:r>
      <w:r w:rsidRPr="00BF28BB">
        <w:rPr>
          <w:rFonts w:ascii="Times New Roman CYR" w:hAnsi="Times New Roman CYR" w:cs="Times New Roman CYR"/>
        </w:rPr>
        <w:t xml:space="preserve"> наложенных и взысканных административных штрафов в 201</w:t>
      </w:r>
      <w:r w:rsidR="00B41266">
        <w:rPr>
          <w:rFonts w:ascii="Times New Roman CYR" w:hAnsi="Times New Roman CYR" w:cs="Times New Roman CYR"/>
        </w:rPr>
        <w:t>6</w:t>
      </w:r>
      <w:r w:rsidRPr="00BF28BB">
        <w:rPr>
          <w:rFonts w:ascii="Times New Roman CYR" w:hAnsi="Times New Roman CYR" w:cs="Times New Roman CYR"/>
        </w:rPr>
        <w:t>-201</w:t>
      </w:r>
      <w:r w:rsidR="000F3846">
        <w:rPr>
          <w:rFonts w:ascii="Times New Roman CYR" w:hAnsi="Times New Roman CYR" w:cs="Times New Roman CYR"/>
        </w:rPr>
        <w:t>7</w:t>
      </w:r>
      <w:r w:rsidRPr="00BF28BB">
        <w:rPr>
          <w:rFonts w:ascii="Times New Roman CYR" w:hAnsi="Times New Roman CYR" w:cs="Times New Roman CYR"/>
        </w:rPr>
        <w:t xml:space="preserve"> гг.</w:t>
      </w:r>
    </w:p>
    <w:p w:rsidR="005A4A3A" w:rsidRDefault="005A4A3A" w:rsidP="00BF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28DE46" wp14:editId="57E4061C">
            <wp:simplePos x="0" y="0"/>
            <wp:positionH relativeFrom="column">
              <wp:posOffset>718820</wp:posOffset>
            </wp:positionH>
            <wp:positionV relativeFrom="paragraph">
              <wp:posOffset>120015</wp:posOffset>
            </wp:positionV>
            <wp:extent cx="4593590" cy="1704340"/>
            <wp:effectExtent l="0" t="0" r="16510" b="10160"/>
            <wp:wrapSquare wrapText="bothSides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1266" w:rsidRDefault="00FE355D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sz w:val="24"/>
          <w:szCs w:val="24"/>
        </w:rPr>
        <w:t>Рисунок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04B" w:rsidRPr="006550A8">
        <w:rPr>
          <w:rFonts w:ascii="Times New Roman CYR" w:hAnsi="Times New Roman CYR" w:cs="Times New Roman CYR"/>
          <w:sz w:val="24"/>
          <w:szCs w:val="24"/>
        </w:rPr>
        <w:t>7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. Соотношение </w:t>
      </w:r>
      <w:proofErr w:type="gramStart"/>
      <w:r w:rsidR="00642698" w:rsidRPr="006550A8">
        <w:rPr>
          <w:rFonts w:ascii="Times New Roman CYR" w:hAnsi="Times New Roman CYR" w:cs="Times New Roman CYR"/>
          <w:sz w:val="24"/>
          <w:szCs w:val="24"/>
        </w:rPr>
        <w:t>наложенных</w:t>
      </w:r>
      <w:proofErr w:type="gramEnd"/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 и взысканных</w:t>
      </w:r>
      <w:r w:rsidR="00C0288D" w:rsidRPr="006550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42698" w:rsidRPr="006550A8">
        <w:rPr>
          <w:rFonts w:ascii="Times New Roman CYR" w:hAnsi="Times New Roman CYR" w:cs="Times New Roman CYR"/>
          <w:sz w:val="24"/>
          <w:szCs w:val="24"/>
        </w:rPr>
        <w:t xml:space="preserve">административных </w:t>
      </w:r>
    </w:p>
    <w:p w:rsidR="00642698" w:rsidRDefault="00642698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550A8">
        <w:rPr>
          <w:rFonts w:ascii="Times New Roman CYR" w:hAnsi="Times New Roman CYR" w:cs="Times New Roman CYR"/>
          <w:sz w:val="24"/>
          <w:szCs w:val="24"/>
        </w:rPr>
        <w:t>штрафов в 201</w:t>
      </w:r>
      <w:r w:rsidR="00B41266">
        <w:rPr>
          <w:rFonts w:ascii="Times New Roman CYR" w:hAnsi="Times New Roman CYR" w:cs="Times New Roman CYR"/>
          <w:sz w:val="24"/>
          <w:szCs w:val="24"/>
        </w:rPr>
        <w:t>6</w:t>
      </w:r>
      <w:r w:rsidRPr="006550A8">
        <w:rPr>
          <w:rFonts w:ascii="Times New Roman CYR" w:hAnsi="Times New Roman CYR" w:cs="Times New Roman CYR"/>
          <w:sz w:val="24"/>
          <w:szCs w:val="24"/>
        </w:rPr>
        <w:t>-201</w:t>
      </w:r>
      <w:r w:rsidR="000F3846">
        <w:rPr>
          <w:rFonts w:ascii="Times New Roman CYR" w:hAnsi="Times New Roman CYR" w:cs="Times New Roman CYR"/>
          <w:sz w:val="24"/>
          <w:szCs w:val="24"/>
        </w:rPr>
        <w:t>7</w:t>
      </w:r>
      <w:r w:rsidRPr="006550A8">
        <w:rPr>
          <w:rFonts w:ascii="Times New Roman CYR" w:hAnsi="Times New Roman CYR" w:cs="Times New Roman CYR"/>
          <w:sz w:val="24"/>
          <w:szCs w:val="24"/>
        </w:rPr>
        <w:t xml:space="preserve"> годах</w:t>
      </w:r>
    </w:p>
    <w:p w:rsidR="00B41266" w:rsidRPr="006550A8" w:rsidRDefault="00B41266" w:rsidP="006550A8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76A19" w:rsidRPr="00E76A19" w:rsidRDefault="00E76A19" w:rsidP="00E7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E76A19">
        <w:rPr>
          <w:rFonts w:ascii="Times New Roman CYR" w:hAnsi="Times New Roman CYR" w:cs="Times New Roman CYR"/>
        </w:rPr>
        <w:t>Доля административных штрафов, наложенных в 201</w:t>
      </w:r>
      <w:r>
        <w:rPr>
          <w:rFonts w:ascii="Times New Roman CYR" w:hAnsi="Times New Roman CYR" w:cs="Times New Roman CYR"/>
        </w:rPr>
        <w:t>7</w:t>
      </w:r>
      <w:r w:rsidRPr="00E76A19">
        <w:rPr>
          <w:rFonts w:ascii="Times New Roman CYR" w:hAnsi="Times New Roman CYR" w:cs="Times New Roman CYR"/>
        </w:rPr>
        <w:t xml:space="preserve"> году на юридическое лицо, составила </w:t>
      </w:r>
      <w:r>
        <w:rPr>
          <w:rFonts w:ascii="Times New Roman CYR" w:hAnsi="Times New Roman CYR" w:cs="Times New Roman CYR"/>
        </w:rPr>
        <w:t>73,12</w:t>
      </w:r>
      <w:r w:rsidRPr="00E76A19">
        <w:rPr>
          <w:rFonts w:ascii="Times New Roman CYR" w:hAnsi="Times New Roman CYR" w:cs="Times New Roman CYR"/>
        </w:rPr>
        <w:t xml:space="preserve">% от общей суммы наложенных административных штрафов, на должностное лицо – </w:t>
      </w:r>
      <w:r>
        <w:rPr>
          <w:rFonts w:ascii="Times New Roman CYR" w:hAnsi="Times New Roman CYR" w:cs="Times New Roman CYR"/>
        </w:rPr>
        <w:t>26,84</w:t>
      </w:r>
      <w:r w:rsidRPr="00E76A19">
        <w:rPr>
          <w:rFonts w:ascii="Times New Roman CYR" w:hAnsi="Times New Roman CYR" w:cs="Times New Roman CYR"/>
        </w:rPr>
        <w:t>% и на индивидуального предпринимателя – 0,</w:t>
      </w:r>
      <w:r>
        <w:rPr>
          <w:rFonts w:ascii="Times New Roman CYR" w:hAnsi="Times New Roman CYR" w:cs="Times New Roman CYR"/>
        </w:rPr>
        <w:t>04</w:t>
      </w:r>
      <w:r w:rsidRPr="00E76A19">
        <w:rPr>
          <w:rFonts w:ascii="Times New Roman CYR" w:hAnsi="Times New Roman CYR" w:cs="Times New Roman CYR"/>
        </w:rPr>
        <w:t xml:space="preserve">%. В 2016 году доля административных штрафов на юридическое лицо составила 67,7% от общей суммы наложенных административных штрафов, на должностное лицо – 32,2% и на индивидуального предпринимателя – 0,1%. </w:t>
      </w:r>
      <w:proofErr w:type="gramEnd"/>
    </w:p>
    <w:p w:rsidR="00E76A19" w:rsidRPr="00C4343D" w:rsidRDefault="00E76A19" w:rsidP="00E7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>Количество случаев приостановления действия лицензий за нарушение лицензионных требований в 201</w:t>
      </w:r>
      <w:r>
        <w:rPr>
          <w:rFonts w:ascii="Times New Roman CYR" w:hAnsi="Times New Roman CYR" w:cs="Times New Roman CYR"/>
        </w:rPr>
        <w:t xml:space="preserve">7 </w:t>
      </w:r>
      <w:r w:rsidRPr="00C4343D">
        <w:rPr>
          <w:rFonts w:ascii="Times New Roman CYR" w:hAnsi="Times New Roman CYR" w:cs="Times New Roman CYR"/>
        </w:rPr>
        <w:t xml:space="preserve">году составило </w:t>
      </w:r>
      <w:r>
        <w:rPr>
          <w:rFonts w:ascii="Times New Roman CYR" w:hAnsi="Times New Roman CYR" w:cs="Times New Roman CYR"/>
        </w:rPr>
        <w:t>61</w:t>
      </w:r>
      <w:r w:rsidRPr="00C4343D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в 2016 году –</w:t>
      </w:r>
      <w:r w:rsidR="00B41266">
        <w:rPr>
          <w:rFonts w:ascii="Times New Roman CYR" w:hAnsi="Times New Roman CYR" w:cs="Times New Roman CYR"/>
        </w:rPr>
        <w:t xml:space="preserve"> 83</w:t>
      </w:r>
      <w:r>
        <w:rPr>
          <w:rFonts w:ascii="Times New Roman CYR" w:hAnsi="Times New Roman CYR" w:cs="Times New Roman CYR"/>
        </w:rPr>
        <w:t>)</w:t>
      </w:r>
      <w:r w:rsidRPr="00C4343D">
        <w:rPr>
          <w:rFonts w:ascii="Times New Roman CYR" w:hAnsi="Times New Roman CYR" w:cs="Times New Roman CYR"/>
        </w:rPr>
        <w:t>, в том числе:</w:t>
      </w:r>
    </w:p>
    <w:p w:rsidR="00E76A19" w:rsidRPr="00C4343D" w:rsidRDefault="00E76A19" w:rsidP="00E7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>по решению лицензирующего органа –</w:t>
      </w:r>
      <w:r>
        <w:rPr>
          <w:rFonts w:ascii="Times New Roman CYR" w:hAnsi="Times New Roman CYR" w:cs="Times New Roman CYR"/>
        </w:rPr>
        <w:t xml:space="preserve"> 40 </w:t>
      </w:r>
      <w:r w:rsidRPr="00C4343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(в 2016 году – 66</w:t>
      </w:r>
      <w:r w:rsidRPr="00C4343D">
        <w:rPr>
          <w:rFonts w:ascii="Times New Roman CYR" w:hAnsi="Times New Roman CYR" w:cs="Times New Roman CYR"/>
        </w:rPr>
        <w:t>);</w:t>
      </w:r>
    </w:p>
    <w:p w:rsidR="00E76A19" w:rsidRDefault="00E76A19" w:rsidP="00E7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4343D">
        <w:rPr>
          <w:rFonts w:ascii="Times New Roman CYR" w:hAnsi="Times New Roman CYR" w:cs="Times New Roman CYR"/>
        </w:rPr>
        <w:t xml:space="preserve">по решению суда – </w:t>
      </w:r>
      <w:r w:rsidR="00C83792">
        <w:rPr>
          <w:rFonts w:ascii="Times New Roman CYR" w:hAnsi="Times New Roman CYR" w:cs="Times New Roman CYR"/>
        </w:rPr>
        <w:t>21</w:t>
      </w:r>
      <w:r>
        <w:rPr>
          <w:rFonts w:ascii="Times New Roman CYR" w:hAnsi="Times New Roman CYR" w:cs="Times New Roman CYR"/>
        </w:rPr>
        <w:t xml:space="preserve"> </w:t>
      </w:r>
      <w:r w:rsidRPr="00C4343D">
        <w:rPr>
          <w:rFonts w:ascii="Times New Roman CYR" w:hAnsi="Times New Roman CYR" w:cs="Times New Roman CYR"/>
        </w:rPr>
        <w:t>(</w:t>
      </w:r>
      <w:r w:rsidR="00C83792">
        <w:rPr>
          <w:rFonts w:ascii="Times New Roman CYR" w:hAnsi="Times New Roman CYR" w:cs="Times New Roman CYR"/>
        </w:rPr>
        <w:t>в 2016 году – 17</w:t>
      </w:r>
      <w:r>
        <w:rPr>
          <w:rFonts w:ascii="Times New Roman CYR" w:hAnsi="Times New Roman CYR" w:cs="Times New Roman CYR"/>
        </w:rPr>
        <w:t>).</w:t>
      </w:r>
    </w:p>
    <w:p w:rsidR="0090361B" w:rsidRDefault="0090361B" w:rsidP="00B21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0361B">
        <w:rPr>
          <w:rFonts w:ascii="Times New Roman CYR" w:hAnsi="Times New Roman CYR" w:cs="Times New Roman CYR"/>
        </w:rPr>
        <w:t>По итогам лицензионного контроля провод</w:t>
      </w:r>
      <w:r w:rsidR="00FF7603">
        <w:rPr>
          <w:rFonts w:ascii="Times New Roman CYR" w:hAnsi="Times New Roman CYR" w:cs="Times New Roman CYR"/>
        </w:rPr>
        <w:t>ились</w:t>
      </w:r>
      <w:r w:rsidRPr="0090361B">
        <w:rPr>
          <w:rFonts w:ascii="Times New Roman CYR" w:hAnsi="Times New Roman CYR" w:cs="Times New Roman CYR"/>
        </w:rPr>
        <w:t xml:space="preserve"> совещания со специалистами, руководителями и заместителями руководителей образовательных организаций и их учредителями, на которых рассматрива</w:t>
      </w:r>
      <w:r w:rsidR="00FF7603">
        <w:rPr>
          <w:rFonts w:ascii="Times New Roman CYR" w:hAnsi="Times New Roman CYR" w:cs="Times New Roman CYR"/>
        </w:rPr>
        <w:t>лись</w:t>
      </w:r>
      <w:r w:rsidRPr="0090361B">
        <w:rPr>
          <w:rFonts w:ascii="Times New Roman CYR" w:hAnsi="Times New Roman CYR" w:cs="Times New Roman CYR"/>
        </w:rPr>
        <w:t xml:space="preserve"> итоги проверок, анализир</w:t>
      </w:r>
      <w:r w:rsidR="00FF7603">
        <w:rPr>
          <w:rFonts w:ascii="Times New Roman CYR" w:hAnsi="Times New Roman CYR" w:cs="Times New Roman CYR"/>
        </w:rPr>
        <w:t>овались</w:t>
      </w:r>
      <w:r w:rsidRPr="0090361B">
        <w:rPr>
          <w:rFonts w:ascii="Times New Roman CYR" w:hAnsi="Times New Roman CYR" w:cs="Times New Roman CYR"/>
        </w:rPr>
        <w:t xml:space="preserve"> причины выявленных нарушений, </w:t>
      </w:r>
      <w:r w:rsidR="00FF7603">
        <w:rPr>
          <w:rFonts w:ascii="Times New Roman CYR" w:hAnsi="Times New Roman CYR" w:cs="Times New Roman CYR"/>
        </w:rPr>
        <w:t xml:space="preserve">были даны </w:t>
      </w:r>
      <w:r w:rsidRPr="0090361B">
        <w:rPr>
          <w:rFonts w:ascii="Times New Roman CYR" w:hAnsi="Times New Roman CYR" w:cs="Times New Roman CYR"/>
        </w:rPr>
        <w:t>рекомендации по устранению и профилактике</w:t>
      </w:r>
      <w:r w:rsidR="00FF7603">
        <w:rPr>
          <w:rFonts w:ascii="Times New Roman CYR" w:hAnsi="Times New Roman CYR" w:cs="Times New Roman CYR"/>
        </w:rPr>
        <w:t xml:space="preserve"> нарушений.</w:t>
      </w:r>
    </w:p>
    <w:p w:rsidR="00654FC2" w:rsidRDefault="00654FC2" w:rsidP="00B21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642698" w:rsidRPr="00642698" w:rsidRDefault="00642698" w:rsidP="00C469A1">
      <w:pPr>
        <w:spacing w:before="200" w:line="240" w:lineRule="auto"/>
        <w:ind w:firstLine="709"/>
        <w:jc w:val="both"/>
        <w:outlineLvl w:val="1"/>
        <w:rPr>
          <w:b/>
        </w:rPr>
      </w:pPr>
      <w:bookmarkStart w:id="19" w:name="_Toc475535816"/>
      <w:r w:rsidRPr="00640213">
        <w:rPr>
          <w:b/>
        </w:rPr>
        <w:t>е) сведения о квалификации работников, осуществляющих лицензирование образовательной деятельности, и о мероприятиях по повышению квалификации этих работников</w:t>
      </w:r>
      <w:bookmarkEnd w:id="17"/>
      <w:bookmarkEnd w:id="18"/>
      <w:bookmarkEnd w:id="19"/>
    </w:p>
    <w:p w:rsidR="00BD0FC1" w:rsidRPr="00207227" w:rsidRDefault="00BD0FC1" w:rsidP="00BD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2C04E1">
        <w:rPr>
          <w:rFonts w:ascii="Times New Roman CYR" w:hAnsi="Times New Roman CYR" w:cs="Times New Roman CYR"/>
        </w:rPr>
        <w:t>Количество штатных единиц лицензирующих органов субъектов Российской Федерации по должностям, предусматривающим рассмотрение вопросов и принятие реш</w:t>
      </w:r>
      <w:r w:rsidRPr="00207227">
        <w:rPr>
          <w:rFonts w:ascii="Times New Roman CYR" w:hAnsi="Times New Roman CYR" w:cs="Times New Roman CYR"/>
        </w:rPr>
        <w:t xml:space="preserve">ений по лицензированию образовательной деятельности, включая проведение лицензионного контроля, составило </w:t>
      </w:r>
      <w:r w:rsidR="00960572" w:rsidRPr="00207227">
        <w:rPr>
          <w:rFonts w:ascii="Times New Roman CYR" w:hAnsi="Times New Roman CYR" w:cs="Times New Roman CYR"/>
        </w:rPr>
        <w:br/>
      </w:r>
      <w:r w:rsidRPr="00207227">
        <w:rPr>
          <w:rFonts w:ascii="Times New Roman CYR" w:hAnsi="Times New Roman CYR" w:cs="Times New Roman CYR"/>
        </w:rPr>
        <w:t>в 2017 году 631</w:t>
      </w:r>
      <w:r w:rsidR="00960572" w:rsidRPr="00207227">
        <w:rPr>
          <w:rFonts w:ascii="Times New Roman CYR" w:hAnsi="Times New Roman CYR" w:cs="Times New Roman CYR"/>
        </w:rPr>
        <w:t xml:space="preserve"> </w:t>
      </w:r>
      <w:r w:rsidRPr="00207227">
        <w:rPr>
          <w:rFonts w:ascii="Times New Roman CYR" w:hAnsi="Times New Roman CYR" w:cs="Times New Roman CYR"/>
        </w:rPr>
        <w:t xml:space="preserve">единицу (из них занятых единиц 612), 2016 году количество штатных единиц составляло 631 (из них было занято 609).  </w:t>
      </w:r>
    </w:p>
    <w:p w:rsidR="005C7964" w:rsidRPr="002C04E1" w:rsidRDefault="005C7964" w:rsidP="005C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207227">
        <w:rPr>
          <w:rFonts w:ascii="Times New Roman CYR" w:hAnsi="Times New Roman CYR" w:cs="Times New Roman CYR"/>
        </w:rPr>
        <w:t>Работники лицензирующих органов субъектов Российской Федерации,  обладают достаточным уро</w:t>
      </w:r>
      <w:r w:rsidRPr="002C04E1">
        <w:rPr>
          <w:rFonts w:ascii="Times New Roman CYR" w:hAnsi="Times New Roman CYR" w:cs="Times New Roman CYR"/>
        </w:rPr>
        <w:t>внем квалификации, что подтверждается документами о получении высшего профессионального образования (</w:t>
      </w:r>
      <w:r>
        <w:rPr>
          <w:rFonts w:ascii="Times New Roman CYR" w:hAnsi="Times New Roman CYR" w:cs="Times New Roman CYR"/>
        </w:rPr>
        <w:t>100</w:t>
      </w:r>
      <w:r w:rsidRPr="002C04E1">
        <w:rPr>
          <w:rFonts w:ascii="Times New Roman CYR" w:hAnsi="Times New Roman CYR" w:cs="Times New Roman CYR"/>
        </w:rPr>
        <w:t>%)</w:t>
      </w:r>
      <w:r>
        <w:rPr>
          <w:rFonts w:ascii="Times New Roman CYR" w:hAnsi="Times New Roman CYR" w:cs="Times New Roman CYR"/>
        </w:rPr>
        <w:t>, в 201</w:t>
      </w:r>
      <w:r w:rsidR="00BD0FC1">
        <w:rPr>
          <w:rFonts w:ascii="Times New Roman CYR" w:hAnsi="Times New Roman CYR" w:cs="Times New Roman CYR"/>
        </w:rPr>
        <w:t>6 году также 100</w:t>
      </w:r>
      <w:r>
        <w:rPr>
          <w:rFonts w:ascii="Times New Roman CYR" w:hAnsi="Times New Roman CYR" w:cs="Times New Roman CYR"/>
        </w:rPr>
        <w:t>%.</w:t>
      </w:r>
      <w:r w:rsidRPr="002C04E1">
        <w:rPr>
          <w:rFonts w:ascii="Times New Roman CYR" w:hAnsi="Times New Roman CYR" w:cs="Times New Roman CYR"/>
        </w:rPr>
        <w:t xml:space="preserve"> </w:t>
      </w:r>
    </w:p>
    <w:p w:rsidR="006E1A7D" w:rsidRPr="00414D1B" w:rsidRDefault="00BD0FC1" w:rsidP="0064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548DD4" w:themeColor="text2" w:themeTint="99"/>
        </w:rPr>
      </w:pPr>
      <w:r w:rsidRPr="002C04E1">
        <w:rPr>
          <w:rFonts w:ascii="Times New Roman CYR" w:hAnsi="Times New Roman CYR" w:cs="Times New Roman CYR"/>
        </w:rPr>
        <w:t>В 201</w:t>
      </w:r>
      <w:r>
        <w:rPr>
          <w:rFonts w:ascii="Times New Roman CYR" w:hAnsi="Times New Roman CYR" w:cs="Times New Roman CYR"/>
        </w:rPr>
        <w:t>7</w:t>
      </w:r>
      <w:r w:rsidRPr="002C04E1">
        <w:rPr>
          <w:rFonts w:ascii="Times New Roman CYR" w:hAnsi="Times New Roman CYR" w:cs="Times New Roman CYR"/>
        </w:rPr>
        <w:t xml:space="preserve"> году количество государственных служащих, имеющих стаж государственной гражданской службы более 5 лет, составило </w:t>
      </w:r>
      <w:r>
        <w:rPr>
          <w:rFonts w:ascii="Times New Roman CYR" w:hAnsi="Times New Roman CYR" w:cs="Times New Roman CYR"/>
        </w:rPr>
        <w:t>77,</w:t>
      </w:r>
      <w:r w:rsidR="00DA074A">
        <w:rPr>
          <w:rFonts w:ascii="Times New Roman CYR" w:hAnsi="Times New Roman CYR" w:cs="Times New Roman CYR"/>
        </w:rPr>
        <w:t>4</w:t>
      </w:r>
      <w:r w:rsidRPr="002C04E1">
        <w:rPr>
          <w:rFonts w:ascii="Times New Roman CYR" w:hAnsi="Times New Roman CYR" w:cs="Times New Roman CYR"/>
        </w:rPr>
        <w:t>%</w:t>
      </w:r>
      <w:r>
        <w:rPr>
          <w:rFonts w:ascii="Times New Roman CYR" w:hAnsi="Times New Roman CYR" w:cs="Times New Roman CYR"/>
        </w:rPr>
        <w:t xml:space="preserve"> от общего количества </w:t>
      </w:r>
      <w:r w:rsidRPr="00B33A50">
        <w:rPr>
          <w:rFonts w:ascii="Times New Roman CYR" w:hAnsi="Times New Roman CYR" w:cs="Times New Roman CYR"/>
        </w:rPr>
        <w:t>государственных служащих</w:t>
      </w:r>
      <w:r>
        <w:rPr>
          <w:rFonts w:ascii="Times New Roman CYR" w:hAnsi="Times New Roman CYR" w:cs="Times New Roman CYR"/>
        </w:rPr>
        <w:t xml:space="preserve">, </w:t>
      </w:r>
      <w:r w:rsidRPr="00B33A50">
        <w:rPr>
          <w:rFonts w:ascii="Times New Roman CYR" w:hAnsi="Times New Roman CYR" w:cs="Times New Roman CYR"/>
        </w:rPr>
        <w:t>осуществляющих лицензирование</w:t>
      </w:r>
      <w:r w:rsidR="003A520B">
        <w:rPr>
          <w:rFonts w:ascii="Times New Roman CYR" w:hAnsi="Times New Roman CYR" w:cs="Times New Roman CYR"/>
        </w:rPr>
        <w:t>.</w:t>
      </w:r>
      <w:r w:rsidRPr="00B33A50">
        <w:rPr>
          <w:rFonts w:ascii="Times New Roman CYR" w:hAnsi="Times New Roman CYR" w:cs="Times New Roman CYR"/>
        </w:rPr>
        <w:t xml:space="preserve"> </w:t>
      </w:r>
    </w:p>
    <w:p w:rsidR="00414D1B" w:rsidRDefault="00414D1B" w:rsidP="00414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B3578">
        <w:rPr>
          <w:rFonts w:ascii="Times New Roman CYR" w:hAnsi="Times New Roman CYR" w:cs="Times New Roman CYR"/>
        </w:rPr>
        <w:t xml:space="preserve">В соответствии </w:t>
      </w:r>
      <w:r w:rsidRPr="00BD00DB">
        <w:rPr>
          <w:rFonts w:ascii="Times New Roman CYR" w:hAnsi="Times New Roman CYR" w:cs="Times New Roman CYR"/>
        </w:rPr>
        <w:t>с данными</w:t>
      </w:r>
      <w:r>
        <w:rPr>
          <w:rFonts w:ascii="Times New Roman CYR" w:hAnsi="Times New Roman CYR" w:cs="Times New Roman CYR"/>
        </w:rPr>
        <w:t xml:space="preserve">, указанными в </w:t>
      </w:r>
      <w:r w:rsidRPr="00BD00DB">
        <w:rPr>
          <w:rFonts w:ascii="Times New Roman CYR" w:hAnsi="Times New Roman CYR" w:cs="Times New Roman CYR"/>
        </w:rPr>
        <w:t xml:space="preserve"> представленных доклад</w:t>
      </w:r>
      <w:r>
        <w:rPr>
          <w:rFonts w:ascii="Times New Roman CYR" w:hAnsi="Times New Roman CYR" w:cs="Times New Roman CYR"/>
        </w:rPr>
        <w:t>ах,</w:t>
      </w:r>
      <w:r w:rsidRPr="00CB357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39,</w:t>
      </w:r>
      <w:r w:rsidR="00DA074A">
        <w:rPr>
          <w:rFonts w:ascii="Times New Roman CYR" w:hAnsi="Times New Roman CYR" w:cs="Times New Roman CYR"/>
        </w:rPr>
        <w:t>1</w:t>
      </w:r>
      <w:r w:rsidRPr="00CB3578">
        <w:rPr>
          <w:rFonts w:ascii="Times New Roman CYR" w:hAnsi="Times New Roman CYR" w:cs="Times New Roman CYR"/>
        </w:rPr>
        <w:t>% государственных</w:t>
      </w:r>
      <w:r>
        <w:rPr>
          <w:rFonts w:ascii="Times New Roman CYR" w:hAnsi="Times New Roman CYR" w:cs="Times New Roman CYR"/>
        </w:rPr>
        <w:t xml:space="preserve"> </w:t>
      </w:r>
      <w:r w:rsidRPr="00CB3578">
        <w:rPr>
          <w:rFonts w:ascii="Times New Roman CYR" w:hAnsi="Times New Roman CYR" w:cs="Times New Roman CYR"/>
        </w:rPr>
        <w:t>гражданских служащих</w:t>
      </w:r>
      <w:r>
        <w:rPr>
          <w:rFonts w:ascii="Times New Roman CYR" w:hAnsi="Times New Roman CYR" w:cs="Times New Roman CYR"/>
        </w:rPr>
        <w:t>,</w:t>
      </w:r>
      <w:r w:rsidRPr="00CB3578">
        <w:rPr>
          <w:rFonts w:ascii="Times New Roman CYR" w:hAnsi="Times New Roman CYR" w:cs="Times New Roman CYR"/>
        </w:rPr>
        <w:t xml:space="preserve"> </w:t>
      </w:r>
      <w:r w:rsidRPr="00DF3529">
        <w:rPr>
          <w:rFonts w:ascii="Times New Roman CYR" w:hAnsi="Times New Roman CYR" w:cs="Times New Roman CYR"/>
        </w:rPr>
        <w:t>осуществляющих лицензирование образовательной деятельности</w:t>
      </w:r>
      <w:r>
        <w:rPr>
          <w:rFonts w:ascii="Times New Roman CYR" w:hAnsi="Times New Roman CYR" w:cs="Times New Roman CYR"/>
        </w:rPr>
        <w:t>,</w:t>
      </w:r>
      <w:r w:rsidRPr="00DF3529">
        <w:rPr>
          <w:rFonts w:ascii="Times New Roman CYR" w:hAnsi="Times New Roman CYR" w:cs="Times New Roman CYR"/>
        </w:rPr>
        <w:t xml:space="preserve"> </w:t>
      </w:r>
      <w:r w:rsidRPr="00CB3578">
        <w:rPr>
          <w:rFonts w:ascii="Times New Roman CYR" w:hAnsi="Times New Roman CYR" w:cs="Times New Roman CYR"/>
        </w:rPr>
        <w:t>в 201</w:t>
      </w:r>
      <w:r>
        <w:rPr>
          <w:rFonts w:ascii="Times New Roman CYR" w:hAnsi="Times New Roman CYR" w:cs="Times New Roman CYR"/>
        </w:rPr>
        <w:t>7</w:t>
      </w:r>
      <w:r w:rsidRPr="00CB3578">
        <w:rPr>
          <w:rFonts w:ascii="Times New Roman CYR" w:hAnsi="Times New Roman CYR" w:cs="Times New Roman CYR"/>
        </w:rPr>
        <w:t xml:space="preserve"> году освоили </w:t>
      </w:r>
      <w:r w:rsidRPr="00CB3578">
        <w:rPr>
          <w:rFonts w:ascii="Times New Roman CYR" w:hAnsi="Times New Roman CYR" w:cs="Times New Roman CYR"/>
        </w:rPr>
        <w:lastRenderedPageBreak/>
        <w:t>дополнительные профессиональные  образовательные программы</w:t>
      </w:r>
      <w:r w:rsidR="00A60AE4">
        <w:rPr>
          <w:rFonts w:ascii="Times New Roman CYR" w:hAnsi="Times New Roman CYR" w:cs="Times New Roman CYR"/>
        </w:rPr>
        <w:t>, что на 17,</w:t>
      </w:r>
      <w:r w:rsidR="00DA074A">
        <w:rPr>
          <w:rFonts w:ascii="Times New Roman CYR" w:hAnsi="Times New Roman CYR" w:cs="Times New Roman CYR"/>
        </w:rPr>
        <w:t>8</w:t>
      </w:r>
      <w:r w:rsidR="00A60AE4">
        <w:rPr>
          <w:rFonts w:ascii="Times New Roman CYR" w:hAnsi="Times New Roman CYR" w:cs="Times New Roman CYR"/>
        </w:rPr>
        <w:t>% больше чем в</w:t>
      </w:r>
      <w:r w:rsidRPr="00CB3578">
        <w:rPr>
          <w:rFonts w:ascii="Times New Roman CYR" w:hAnsi="Times New Roman CYR" w:cs="Times New Roman CYR"/>
        </w:rPr>
        <w:t xml:space="preserve"> 201</w:t>
      </w:r>
      <w:r>
        <w:rPr>
          <w:rFonts w:ascii="Times New Roman CYR" w:hAnsi="Times New Roman CYR" w:cs="Times New Roman CYR"/>
        </w:rPr>
        <w:t>6</w:t>
      </w:r>
      <w:r w:rsidRPr="00CB3578">
        <w:rPr>
          <w:rFonts w:ascii="Times New Roman CYR" w:hAnsi="Times New Roman CYR" w:cs="Times New Roman CYR"/>
        </w:rPr>
        <w:t xml:space="preserve"> году </w:t>
      </w:r>
      <w:r w:rsidR="00A60AE4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21,3%</w:t>
      </w:r>
      <w:r w:rsidRPr="00CB3578">
        <w:rPr>
          <w:rFonts w:ascii="Times New Roman CYR" w:hAnsi="Times New Roman CYR" w:cs="Times New Roman CYR"/>
        </w:rPr>
        <w:t>).</w:t>
      </w:r>
    </w:p>
    <w:p w:rsidR="00CB3578" w:rsidRPr="00CB3578" w:rsidRDefault="00756CC4" w:rsidP="00CB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таблице</w:t>
      </w:r>
      <w:r w:rsidR="00CB3578" w:rsidRPr="00CB3578">
        <w:rPr>
          <w:rFonts w:ascii="Times New Roman CYR" w:hAnsi="Times New Roman CYR" w:cs="Times New Roman CYR"/>
        </w:rPr>
        <w:t xml:space="preserve"> 3 представлены сведения о повышении квалификации  гражданских служащих, осуществляющих</w:t>
      </w:r>
      <w:r w:rsidR="00DF3529">
        <w:rPr>
          <w:rFonts w:ascii="Times New Roman CYR" w:hAnsi="Times New Roman CYR" w:cs="Times New Roman CYR"/>
        </w:rPr>
        <w:t xml:space="preserve"> </w:t>
      </w:r>
      <w:r w:rsidR="00CB3578" w:rsidRPr="00CB3578">
        <w:rPr>
          <w:rFonts w:ascii="Times New Roman CYR" w:hAnsi="Times New Roman CYR" w:cs="Times New Roman CYR"/>
        </w:rPr>
        <w:t>лицензировани</w:t>
      </w:r>
      <w:r w:rsidR="00DF3529">
        <w:rPr>
          <w:rFonts w:ascii="Times New Roman CYR" w:hAnsi="Times New Roman CYR" w:cs="Times New Roman CYR"/>
        </w:rPr>
        <w:t>е</w:t>
      </w:r>
      <w:r w:rsidR="00CB3578" w:rsidRPr="00CB3578">
        <w:rPr>
          <w:rFonts w:ascii="Times New Roman CYR" w:hAnsi="Times New Roman CYR" w:cs="Times New Roman CYR"/>
        </w:rPr>
        <w:t xml:space="preserve"> образовательной деятельности в субъектах Российской Федерации в 201</w:t>
      </w:r>
      <w:r w:rsidR="00414D1B">
        <w:rPr>
          <w:rFonts w:ascii="Times New Roman CYR" w:hAnsi="Times New Roman CYR" w:cs="Times New Roman CYR"/>
        </w:rPr>
        <w:t>7</w:t>
      </w:r>
      <w:r w:rsidR="00CB3578" w:rsidRPr="00CB3578">
        <w:rPr>
          <w:rFonts w:ascii="Times New Roman CYR" w:hAnsi="Times New Roman CYR" w:cs="Times New Roman CYR"/>
        </w:rPr>
        <w:t xml:space="preserve"> году.</w:t>
      </w:r>
    </w:p>
    <w:p w:rsidR="00642698" w:rsidRPr="002C04E1" w:rsidRDefault="00642698" w:rsidP="0035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EF2211" w:rsidRDefault="00EF2211" w:rsidP="00642698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42698" w:rsidRPr="00DF3529" w:rsidRDefault="002C04E1" w:rsidP="00642698">
      <w:pPr>
        <w:jc w:val="right"/>
        <w:rPr>
          <w:rFonts w:ascii="Times New Roman CYR" w:hAnsi="Times New Roman CYR" w:cs="Times New Roman CYR"/>
          <w:sz w:val="24"/>
          <w:szCs w:val="24"/>
        </w:rPr>
      </w:pPr>
      <w:r w:rsidRPr="00DF3529">
        <w:rPr>
          <w:rFonts w:ascii="Times New Roman CYR" w:hAnsi="Times New Roman CYR" w:cs="Times New Roman CYR"/>
          <w:sz w:val="24"/>
          <w:szCs w:val="24"/>
        </w:rPr>
        <w:t xml:space="preserve">Таблица </w:t>
      </w:r>
      <w:r w:rsidR="00642698" w:rsidRPr="00DF3529">
        <w:rPr>
          <w:rFonts w:ascii="Times New Roman CYR" w:hAnsi="Times New Roman CYR" w:cs="Times New Roman CYR"/>
          <w:sz w:val="24"/>
          <w:szCs w:val="24"/>
        </w:rPr>
        <w:t xml:space="preserve">3 </w:t>
      </w:r>
    </w:p>
    <w:p w:rsidR="00EE4DB7" w:rsidRDefault="00EE4DB7" w:rsidP="006E1A7D">
      <w:pPr>
        <w:spacing w:after="0" w:line="240" w:lineRule="auto"/>
        <w:jc w:val="center"/>
        <w:rPr>
          <w:b/>
          <w:sz w:val="24"/>
          <w:szCs w:val="24"/>
        </w:rPr>
      </w:pPr>
    </w:p>
    <w:p w:rsidR="006E1A7D" w:rsidRDefault="00642698" w:rsidP="006E1A7D">
      <w:pPr>
        <w:spacing w:after="0" w:line="240" w:lineRule="auto"/>
        <w:jc w:val="center"/>
        <w:rPr>
          <w:b/>
          <w:sz w:val="24"/>
          <w:szCs w:val="24"/>
        </w:rPr>
      </w:pPr>
      <w:r w:rsidRPr="00B5104F">
        <w:rPr>
          <w:b/>
          <w:sz w:val="24"/>
          <w:szCs w:val="24"/>
        </w:rPr>
        <w:t xml:space="preserve">Сведения о повышении квалификации гражданских служащих, осуществляющих функции по лицензированию образовательной деятельности, </w:t>
      </w:r>
    </w:p>
    <w:p w:rsidR="00756CC4" w:rsidRDefault="00642698" w:rsidP="006E1A7D">
      <w:pPr>
        <w:spacing w:after="0" w:line="240" w:lineRule="auto"/>
        <w:jc w:val="center"/>
        <w:rPr>
          <w:b/>
          <w:sz w:val="24"/>
          <w:szCs w:val="24"/>
        </w:rPr>
      </w:pPr>
      <w:r w:rsidRPr="00B5104F">
        <w:rPr>
          <w:b/>
          <w:sz w:val="24"/>
          <w:szCs w:val="24"/>
        </w:rPr>
        <w:t>в 201</w:t>
      </w:r>
      <w:r w:rsidR="00414D1B">
        <w:rPr>
          <w:b/>
          <w:sz w:val="24"/>
          <w:szCs w:val="24"/>
        </w:rPr>
        <w:t>7</w:t>
      </w:r>
      <w:r w:rsidRPr="00B5104F">
        <w:rPr>
          <w:b/>
          <w:sz w:val="24"/>
          <w:szCs w:val="24"/>
        </w:rPr>
        <w:t xml:space="preserve"> году</w:t>
      </w:r>
    </w:p>
    <w:p w:rsidR="003A520B" w:rsidRDefault="003A520B" w:rsidP="006E1A7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34"/>
        <w:gridCol w:w="4252"/>
      </w:tblGrid>
      <w:tr w:rsidR="005124DB" w:rsidRPr="00AE6616" w:rsidTr="00DF59D5">
        <w:trPr>
          <w:trHeight w:val="300"/>
          <w:tblHeader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DB" w:rsidRPr="00AE6616" w:rsidRDefault="005124DB" w:rsidP="004F4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6616">
              <w:rPr>
                <w:b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DB" w:rsidRPr="00AE6616" w:rsidRDefault="003A520B" w:rsidP="003A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</w:t>
            </w:r>
            <w:r w:rsidR="005124DB" w:rsidRPr="00AE6616">
              <w:rPr>
                <w:b/>
                <w:bCs/>
                <w:sz w:val="24"/>
                <w:szCs w:val="24"/>
              </w:rPr>
              <w:t xml:space="preserve">гражданских </w:t>
            </w:r>
            <w:r w:rsidR="005124DB" w:rsidRPr="00AE6616">
              <w:rPr>
                <w:b/>
                <w:color w:val="000000"/>
                <w:sz w:val="24"/>
                <w:szCs w:val="24"/>
              </w:rPr>
              <w:t>служащих, получивших дополнительное профессиональное образование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7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DF59D5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Итого по Дальневосточному федеральному округу: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6</w:t>
            </w:r>
          </w:p>
        </w:tc>
      </w:tr>
      <w:tr w:rsidR="00414D1B" w:rsidRPr="00DF59D5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Итого по Приволжскому федеральному округу: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281CF9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DF59D5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EA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 xml:space="preserve">Итого по </w:t>
            </w:r>
            <w:r w:rsidRPr="00207227">
              <w:rPr>
                <w:b/>
                <w:color w:val="000000"/>
                <w:sz w:val="24"/>
                <w:szCs w:val="24"/>
              </w:rPr>
              <w:t>Северо-</w:t>
            </w:r>
            <w:r w:rsidR="00EA74D2" w:rsidRPr="00207227">
              <w:rPr>
                <w:b/>
                <w:color w:val="000000"/>
                <w:sz w:val="24"/>
                <w:szCs w:val="24"/>
              </w:rPr>
              <w:t>З</w:t>
            </w:r>
            <w:r w:rsidRPr="00207227">
              <w:rPr>
                <w:b/>
                <w:color w:val="000000"/>
                <w:sz w:val="24"/>
                <w:szCs w:val="24"/>
              </w:rPr>
              <w:t>ападному федеральному</w:t>
            </w:r>
            <w:r w:rsidRPr="00DF59D5">
              <w:rPr>
                <w:b/>
                <w:color w:val="000000"/>
                <w:sz w:val="24"/>
                <w:szCs w:val="24"/>
              </w:rPr>
              <w:t xml:space="preserve"> округу: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281CF9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DF59D5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Итого по Северо-Кавказскому федеральному округу: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7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DF59D5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Итого по Сибирскому федеральному округу: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9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414D1B" w:rsidRPr="00DF59D5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Итого по Уральскому федеральному округу: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lastRenderedPageBreak/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Итого по Центральному федеральному округу: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F59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4D1B" w:rsidRPr="00AE6616" w:rsidTr="00DF59D5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Итого по Южному федеральному округу: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59D5">
              <w:rPr>
                <w:b/>
                <w:color w:val="000000"/>
                <w:sz w:val="24"/>
                <w:szCs w:val="24"/>
              </w:rPr>
              <w:t>32</w:t>
            </w:r>
          </w:p>
        </w:tc>
      </w:tr>
      <w:tr w:rsidR="00414D1B" w:rsidRPr="00756CC4" w:rsidTr="00DF59D5">
        <w:trPr>
          <w:trHeight w:val="55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DF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DF59D5">
              <w:rPr>
                <w:b/>
                <w:color w:val="000000"/>
              </w:rPr>
              <w:t>Итого по Российской Федерации: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D1B" w:rsidRPr="00DF59D5" w:rsidRDefault="00414D1B" w:rsidP="0028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DF59D5">
              <w:rPr>
                <w:b/>
                <w:color w:val="000000"/>
              </w:rPr>
              <w:t>2</w:t>
            </w:r>
            <w:r w:rsidR="00281CF9">
              <w:rPr>
                <w:b/>
                <w:color w:val="000000"/>
              </w:rPr>
              <w:t>39</w:t>
            </w:r>
          </w:p>
        </w:tc>
      </w:tr>
    </w:tbl>
    <w:p w:rsidR="00756CC4" w:rsidRPr="002912F7" w:rsidRDefault="00756CC4" w:rsidP="00642698">
      <w:pPr>
        <w:autoSpaceDE w:val="0"/>
        <w:autoSpaceDN w:val="0"/>
        <w:adjustRightInd w:val="0"/>
        <w:spacing w:after="0" w:line="240" w:lineRule="auto"/>
      </w:pPr>
    </w:p>
    <w:p w:rsidR="00642698" w:rsidRPr="00BB7346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B7346">
        <w:rPr>
          <w:rFonts w:ascii="Times New Roman CYR" w:hAnsi="Times New Roman CYR" w:cs="Times New Roman CYR"/>
        </w:rPr>
        <w:t xml:space="preserve">Лицензирующими органами субъектов Российской Федерации проводились обучающие семинары для </w:t>
      </w:r>
      <w:r w:rsidR="006E1A7D">
        <w:rPr>
          <w:rFonts w:ascii="Times New Roman CYR" w:hAnsi="Times New Roman CYR" w:cs="Times New Roman CYR"/>
        </w:rPr>
        <w:t>лиц</w:t>
      </w:r>
      <w:r w:rsidR="006E1A7D" w:rsidRPr="00961C20">
        <w:rPr>
          <w:rFonts w:ascii="Times New Roman CYR" w:hAnsi="Times New Roman CYR" w:cs="Times New Roman CYR"/>
        </w:rPr>
        <w:t xml:space="preserve">, привлекающихся к </w:t>
      </w:r>
      <w:r w:rsidR="00961C20" w:rsidRPr="00961C20">
        <w:rPr>
          <w:rFonts w:ascii="Times New Roman CYR" w:hAnsi="Times New Roman CYR" w:cs="Times New Roman CYR"/>
        </w:rPr>
        <w:t>осуществлению лицензионного контроля</w:t>
      </w:r>
      <w:r w:rsidR="006E1A7D" w:rsidRPr="00961C20">
        <w:rPr>
          <w:rFonts w:ascii="Times New Roman CYR" w:hAnsi="Times New Roman CYR" w:cs="Times New Roman CYR"/>
        </w:rPr>
        <w:t>,</w:t>
      </w:r>
      <w:r w:rsidRPr="00961C20">
        <w:rPr>
          <w:rFonts w:ascii="Times New Roman CYR" w:hAnsi="Times New Roman CYR" w:cs="Times New Roman CYR"/>
        </w:rPr>
        <w:t xml:space="preserve"> по различной тематике, связанной с лицензированием образовательной деятельности и осуществлением</w:t>
      </w:r>
      <w:r w:rsidRPr="00BB7346">
        <w:rPr>
          <w:rFonts w:ascii="Times New Roman CYR" w:hAnsi="Times New Roman CYR" w:cs="Times New Roman CYR"/>
        </w:rPr>
        <w:t xml:space="preserve"> лицензионного контроля. </w:t>
      </w:r>
    </w:p>
    <w:p w:rsidR="00642698" w:rsidRDefault="00642698" w:rsidP="0065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B7346">
        <w:rPr>
          <w:rFonts w:ascii="Times New Roman CYR" w:hAnsi="Times New Roman CYR" w:cs="Times New Roman CYR"/>
        </w:rPr>
        <w:t>Кроме того, работники органов, осуществляющих лицензирование образовательной деятельности, принимали участие в совещаниях, семинарах, проводи</w:t>
      </w:r>
      <w:r w:rsidR="00DF3529">
        <w:rPr>
          <w:rFonts w:ascii="Times New Roman CYR" w:hAnsi="Times New Roman CYR" w:cs="Times New Roman CYR"/>
        </w:rPr>
        <w:t>вшихся</w:t>
      </w:r>
      <w:r w:rsidRPr="00BB7346">
        <w:rPr>
          <w:rFonts w:ascii="Times New Roman CYR" w:hAnsi="Times New Roman CYR" w:cs="Times New Roman CYR"/>
        </w:rPr>
        <w:t xml:space="preserve"> </w:t>
      </w:r>
      <w:r w:rsidR="00DF3529">
        <w:rPr>
          <w:rFonts w:ascii="Times New Roman CYR" w:hAnsi="Times New Roman CYR" w:cs="Times New Roman CYR"/>
        </w:rPr>
        <w:t xml:space="preserve">на федеральном уровне. </w:t>
      </w:r>
    </w:p>
    <w:p w:rsidR="00642698" w:rsidRPr="00DF3529" w:rsidRDefault="00642698" w:rsidP="004A02F3">
      <w:pPr>
        <w:spacing w:before="200" w:line="240" w:lineRule="auto"/>
        <w:ind w:firstLine="709"/>
        <w:jc w:val="both"/>
        <w:outlineLvl w:val="1"/>
        <w:rPr>
          <w:b/>
        </w:rPr>
      </w:pPr>
      <w:bookmarkStart w:id="20" w:name="_Toc475535817"/>
      <w:r w:rsidRPr="00640213">
        <w:rPr>
          <w:b/>
        </w:rPr>
        <w:lastRenderedPageBreak/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  <w:bookmarkEnd w:id="20"/>
    </w:p>
    <w:p w:rsidR="00642698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В 201</w:t>
      </w:r>
      <w:r w:rsidR="00EC730E">
        <w:rPr>
          <w:rFonts w:ascii="Times New Roman CYR" w:hAnsi="Times New Roman CYR" w:cs="Times New Roman CYR"/>
        </w:rPr>
        <w:t>7</w:t>
      </w:r>
      <w:r w:rsidRPr="00DF3529">
        <w:rPr>
          <w:rFonts w:ascii="Times New Roman CYR" w:hAnsi="Times New Roman CYR" w:cs="Times New Roman CYR"/>
        </w:rPr>
        <w:t xml:space="preserve"> году лицензирующими органами субъектов Российской Федерации проводилась методическая работа с лицензиатами, направленная на</w:t>
      </w:r>
      <w:r w:rsidRPr="00DF3529">
        <w:t xml:space="preserve"> </w:t>
      </w:r>
      <w:r w:rsidRPr="00DF3529">
        <w:rPr>
          <w:rFonts w:ascii="Times New Roman CYR" w:hAnsi="Times New Roman CYR" w:cs="Times New Roman CYR"/>
        </w:rPr>
        <w:t>предотвращение нарушений ими лицензионных требований и условий.</w:t>
      </w:r>
    </w:p>
    <w:p w:rsidR="00642698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Методическая работа</w:t>
      </w:r>
      <w:r w:rsidRPr="00DF3529">
        <w:t xml:space="preserve"> </w:t>
      </w:r>
      <w:r w:rsidRPr="00DF3529">
        <w:rPr>
          <w:rFonts w:ascii="Times New Roman CYR" w:hAnsi="Times New Roman CYR" w:cs="Times New Roman CYR"/>
        </w:rPr>
        <w:t>осуществлялась посредством:</w:t>
      </w:r>
    </w:p>
    <w:p w:rsidR="002C04E1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проведения семинаров, совещаний, конференций</w:t>
      </w:r>
      <w:r w:rsidR="00356373" w:rsidRPr="00DF3529">
        <w:rPr>
          <w:rFonts w:ascii="Times New Roman CYR" w:hAnsi="Times New Roman CYR" w:cs="Times New Roman CYR"/>
        </w:rPr>
        <w:t xml:space="preserve"> и </w:t>
      </w:r>
      <w:r w:rsidRPr="00DF3529">
        <w:rPr>
          <w:rFonts w:ascii="Times New Roman CYR" w:hAnsi="Times New Roman CYR" w:cs="Times New Roman CYR"/>
        </w:rPr>
        <w:t xml:space="preserve"> круглых столов с руко</w:t>
      </w:r>
      <w:r w:rsidR="002C04E1" w:rsidRPr="00DF3529">
        <w:rPr>
          <w:rFonts w:ascii="Times New Roman CYR" w:hAnsi="Times New Roman CYR" w:cs="Times New Roman CYR"/>
        </w:rPr>
        <w:t>водителями</w:t>
      </w:r>
      <w:r w:rsidRPr="00DF3529">
        <w:rPr>
          <w:rFonts w:ascii="Times New Roman CYR" w:hAnsi="Times New Roman CYR" w:cs="Times New Roman CYR"/>
        </w:rPr>
        <w:t xml:space="preserve"> </w:t>
      </w:r>
      <w:r w:rsidR="002C04E1" w:rsidRPr="00DF3529">
        <w:rPr>
          <w:rFonts w:ascii="Times New Roman CYR" w:hAnsi="Times New Roman CYR" w:cs="Times New Roman CYR"/>
        </w:rPr>
        <w:t xml:space="preserve">и </w:t>
      </w:r>
      <w:r w:rsidRPr="00DF3529">
        <w:rPr>
          <w:rFonts w:ascii="Times New Roman CYR" w:hAnsi="Times New Roman CYR" w:cs="Times New Roman CYR"/>
        </w:rPr>
        <w:t xml:space="preserve"> специалистами образовательных организаций</w:t>
      </w:r>
      <w:r w:rsidR="002C04E1" w:rsidRPr="00DF3529">
        <w:rPr>
          <w:rFonts w:ascii="Times New Roman CYR" w:hAnsi="Times New Roman CYR" w:cs="Times New Roman CYR"/>
        </w:rPr>
        <w:t xml:space="preserve">, руководителями и  специалистами  </w:t>
      </w:r>
      <w:r w:rsidRPr="00DF3529">
        <w:rPr>
          <w:rFonts w:ascii="Times New Roman CYR" w:hAnsi="Times New Roman CYR" w:cs="Times New Roman CYR"/>
        </w:rPr>
        <w:t>органов местного самоуправления, осуществляющих управление в сфере образования</w:t>
      </w:r>
      <w:r w:rsidR="00B5104F" w:rsidRPr="00DF3529">
        <w:rPr>
          <w:rFonts w:ascii="Times New Roman CYR" w:hAnsi="Times New Roman CYR" w:cs="Times New Roman CYR"/>
        </w:rPr>
        <w:t>, в том числе в режиме видеоконференцсвязи</w:t>
      </w:r>
      <w:r w:rsidR="002C04E1" w:rsidRPr="00DF3529">
        <w:rPr>
          <w:rFonts w:ascii="Times New Roman CYR" w:hAnsi="Times New Roman CYR" w:cs="Times New Roman CYR"/>
        </w:rPr>
        <w:t>;</w:t>
      </w:r>
      <w:r w:rsidRPr="00DF3529">
        <w:rPr>
          <w:rFonts w:ascii="Times New Roman CYR" w:hAnsi="Times New Roman CYR" w:cs="Times New Roman CYR"/>
        </w:rPr>
        <w:t xml:space="preserve"> </w:t>
      </w:r>
    </w:p>
    <w:p w:rsidR="00642698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предоставления консультаций по правовым вопросам в области лицензирования образовательной деятельности;</w:t>
      </w:r>
    </w:p>
    <w:p w:rsidR="00642698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подготовки информационных и инструктивных писем в адрес лицензиатов относительно порядка лицензирования, заполнения заявлений о предоставлении лицензии на осуществление образовательной деятельности и о переоформлении лицензии, оформления справ</w:t>
      </w:r>
      <w:r w:rsidR="00B5104F" w:rsidRPr="00DF3529">
        <w:rPr>
          <w:rFonts w:ascii="Times New Roman CYR" w:hAnsi="Times New Roman CYR" w:cs="Times New Roman CYR"/>
        </w:rPr>
        <w:t>о</w:t>
      </w:r>
      <w:r w:rsidRPr="00DF3529">
        <w:rPr>
          <w:rFonts w:ascii="Times New Roman CYR" w:hAnsi="Times New Roman CYR" w:cs="Times New Roman CYR"/>
        </w:rPr>
        <w:t>к</w:t>
      </w:r>
      <w:r w:rsidR="00B5104F" w:rsidRPr="00DF3529">
        <w:rPr>
          <w:rFonts w:ascii="Times New Roman CYR" w:hAnsi="Times New Roman CYR" w:cs="Times New Roman CYR"/>
        </w:rPr>
        <w:t xml:space="preserve"> </w:t>
      </w:r>
      <w:r w:rsidRPr="00DF3529">
        <w:rPr>
          <w:rFonts w:ascii="Times New Roman CYR" w:hAnsi="Times New Roman CYR" w:cs="Times New Roman CYR"/>
        </w:rPr>
        <w:t xml:space="preserve"> по заявленным к лицензированию образовательным программам; </w:t>
      </w:r>
    </w:p>
    <w:p w:rsidR="00642698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размещения</w:t>
      </w:r>
      <w:r w:rsidRPr="00DF3529">
        <w:t xml:space="preserve"> </w:t>
      </w:r>
      <w:r w:rsidRPr="00DF3529">
        <w:rPr>
          <w:rFonts w:ascii="Times New Roman CYR" w:hAnsi="Times New Roman CYR" w:cs="Times New Roman CYR"/>
        </w:rPr>
        <w:t>на официальном сайте лицензирующего органа субъекта Российской Федерации</w:t>
      </w:r>
      <w:r w:rsidRPr="00DF3529">
        <w:t xml:space="preserve"> </w:t>
      </w:r>
      <w:r w:rsidRPr="00DF3529">
        <w:rPr>
          <w:rFonts w:ascii="Times New Roman CYR" w:hAnsi="Times New Roman CYR" w:cs="Times New Roman CYR"/>
        </w:rPr>
        <w:t>нормативных правовых актов, регламентирующих порядок лицензирования образовательной деятельности, а также сведений о типичных ошибках, допускаемых соискателями лицензии (лицензиатами) при подготовке заявления и комплекта документов;</w:t>
      </w:r>
    </w:p>
    <w:p w:rsidR="00642698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издания сборников документов,</w:t>
      </w:r>
      <w:r w:rsidRPr="00DF3529">
        <w:t xml:space="preserve"> </w:t>
      </w:r>
      <w:r w:rsidRPr="00DF3529">
        <w:rPr>
          <w:rFonts w:ascii="Times New Roman CYR" w:hAnsi="Times New Roman CYR" w:cs="Times New Roman CYR"/>
        </w:rPr>
        <w:t>журналов, публикаций</w:t>
      </w:r>
      <w:r w:rsidRPr="00DF3529">
        <w:t xml:space="preserve"> </w:t>
      </w:r>
      <w:r w:rsidRPr="00DF3529">
        <w:rPr>
          <w:rFonts w:ascii="Times New Roman CYR" w:hAnsi="Times New Roman CYR" w:cs="Times New Roman CYR"/>
        </w:rPr>
        <w:t>в помощь руководителям образовательных организаций;</w:t>
      </w:r>
    </w:p>
    <w:p w:rsidR="00642698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проведения мероприятий в рамках взаимодействия c руководителями органов управления образованием и другими ведомствами по предупреждению нарушений законодательства Российской Федерации;</w:t>
      </w:r>
    </w:p>
    <w:p w:rsidR="009E14AE" w:rsidRPr="00DF3529" w:rsidRDefault="009E14AE" w:rsidP="009E1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>выступлений в</w:t>
      </w:r>
      <w:r w:rsidRPr="00DF3529">
        <w:t xml:space="preserve"> </w:t>
      </w:r>
      <w:r w:rsidRPr="00DF3529">
        <w:rPr>
          <w:rFonts w:ascii="Times New Roman CYR" w:hAnsi="Times New Roman CYR" w:cs="Times New Roman CYR"/>
        </w:rPr>
        <w:t>телепередачах на региональных телеканалах</w:t>
      </w:r>
      <w:r>
        <w:rPr>
          <w:rFonts w:ascii="Times New Roman CYR" w:hAnsi="Times New Roman CYR" w:cs="Times New Roman CYR"/>
        </w:rPr>
        <w:t>;</w:t>
      </w:r>
    </w:p>
    <w:p w:rsidR="00B5104F" w:rsidRPr="00DF3529" w:rsidRDefault="00642698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F3529">
        <w:rPr>
          <w:rFonts w:ascii="Times New Roman CYR" w:hAnsi="Times New Roman CYR" w:cs="Times New Roman CYR"/>
        </w:rPr>
        <w:t xml:space="preserve">организации </w:t>
      </w:r>
      <w:r w:rsidRPr="00DF3529">
        <w:t>«</w:t>
      </w:r>
      <w:r w:rsidRPr="00DF3529">
        <w:rPr>
          <w:rFonts w:ascii="Times New Roman CYR" w:hAnsi="Times New Roman CYR" w:cs="Times New Roman CYR"/>
        </w:rPr>
        <w:t>горячих линий</w:t>
      </w:r>
      <w:r w:rsidRPr="00DF3529">
        <w:t>»</w:t>
      </w:r>
      <w:r w:rsidR="00356373" w:rsidRPr="00DF3529">
        <w:t xml:space="preserve"> по актуальным вопросам, связанным с лицензированием образовательной деятельности</w:t>
      </w:r>
      <w:r w:rsidR="00B5104F" w:rsidRPr="00DF3529">
        <w:t>.</w:t>
      </w:r>
    </w:p>
    <w:p w:rsidR="004F4985" w:rsidRDefault="00642698" w:rsidP="00123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DF3529">
        <w:rPr>
          <w:rFonts w:ascii="Times New Roman CYR" w:hAnsi="Times New Roman CYR" w:cs="Times New Roman CYR"/>
        </w:rPr>
        <w:t xml:space="preserve">Кроме того, работники органов, осуществляющих лицензирование образовательной деятельности, принимали активное участие в совещаниях, семинарах, проводимых Рособрнадзором. </w:t>
      </w:r>
    </w:p>
    <w:p w:rsidR="00CA5AAE" w:rsidRDefault="00CA5AAE">
      <w:pPr>
        <w:spacing w:after="0" w:line="240" w:lineRule="auto"/>
        <w:rPr>
          <w:b/>
        </w:rPr>
      </w:pPr>
    </w:p>
    <w:p w:rsidR="00552E28" w:rsidRDefault="00552E28">
      <w:pPr>
        <w:spacing w:after="0" w:line="240" w:lineRule="auto"/>
        <w:rPr>
          <w:b/>
        </w:rPr>
      </w:pPr>
      <w:bookmarkStart w:id="21" w:name="_Toc475535818"/>
      <w:r>
        <w:rPr>
          <w:b/>
        </w:rPr>
        <w:br w:type="page"/>
      </w:r>
    </w:p>
    <w:p w:rsidR="0060712D" w:rsidRPr="00052BF9" w:rsidRDefault="0060712D" w:rsidP="002912F7">
      <w:pPr>
        <w:spacing w:before="120"/>
        <w:jc w:val="center"/>
        <w:outlineLvl w:val="0"/>
        <w:rPr>
          <w:b/>
        </w:rPr>
      </w:pPr>
      <w:r w:rsidRPr="00052BF9">
        <w:rPr>
          <w:b/>
        </w:rPr>
        <w:lastRenderedPageBreak/>
        <w:t xml:space="preserve">Раздел 3. Организация деятельности по </w:t>
      </w:r>
      <w:proofErr w:type="gramStart"/>
      <w:r w:rsidRPr="00052BF9">
        <w:rPr>
          <w:b/>
        </w:rPr>
        <w:t>контролю за</w:t>
      </w:r>
      <w:proofErr w:type="gramEnd"/>
      <w:r w:rsidRPr="00052BF9">
        <w:rPr>
          <w:b/>
        </w:rPr>
        <w:t xml:space="preserve"> осуществлением переданных субъектам Российской Федерации полномочий по лицензированию</w:t>
      </w:r>
      <w:r w:rsidRPr="00215B83">
        <w:rPr>
          <w:b/>
        </w:rPr>
        <w:t xml:space="preserve"> </w:t>
      </w:r>
      <w:r w:rsidRPr="00052BF9">
        <w:rPr>
          <w:b/>
        </w:rPr>
        <w:t>образовательной деятельности</w:t>
      </w:r>
      <w:bookmarkEnd w:id="21"/>
    </w:p>
    <w:p w:rsidR="0060712D" w:rsidRPr="00052BF9" w:rsidRDefault="0060712D" w:rsidP="00215B83">
      <w:pPr>
        <w:spacing w:before="200" w:line="240" w:lineRule="auto"/>
        <w:ind w:firstLine="709"/>
        <w:jc w:val="both"/>
        <w:outlineLvl w:val="1"/>
        <w:rPr>
          <w:b/>
        </w:rPr>
      </w:pPr>
      <w:bookmarkStart w:id="22" w:name="_Toc381000257"/>
      <w:bookmarkStart w:id="23" w:name="_Toc381779676"/>
      <w:bookmarkStart w:id="24" w:name="_Toc475535819"/>
      <w:r w:rsidRPr="00052BF9">
        <w:rPr>
          <w:b/>
        </w:rPr>
        <w:t xml:space="preserve">в) Описание примеров лучшей и худшей региональной практики осуществления лицензирования образовательной деятельности с учетом </w:t>
      </w:r>
      <w:proofErr w:type="gramStart"/>
      <w:r w:rsidRPr="00052BF9">
        <w:rPr>
          <w:b/>
        </w:rPr>
        <w:t>результатов анализа показателей оценки эффективности лицензирования образовательной  деятельности</w:t>
      </w:r>
      <w:bookmarkEnd w:id="22"/>
      <w:proofErr w:type="gramEnd"/>
      <w:r w:rsidRPr="00052BF9">
        <w:rPr>
          <w:b/>
        </w:rPr>
        <w:t>.</w:t>
      </w:r>
      <w:bookmarkEnd w:id="23"/>
      <w:bookmarkEnd w:id="24"/>
      <w:r w:rsidRPr="00052BF9">
        <w:rPr>
          <w:b/>
        </w:rPr>
        <w:t xml:space="preserve"> </w:t>
      </w:r>
    </w:p>
    <w:p w:rsidR="00AB09DB" w:rsidRPr="00052BF9" w:rsidRDefault="00AB09DB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052BF9">
        <w:rPr>
          <w:rFonts w:ascii="Times New Roman CYR" w:hAnsi="Times New Roman CYR" w:cs="Times New Roman CYR"/>
        </w:rPr>
        <w:t xml:space="preserve">На основе результатов анализа </w:t>
      </w:r>
      <w:r w:rsidR="00356373" w:rsidRPr="00052BF9">
        <w:rPr>
          <w:rFonts w:ascii="Times New Roman CYR" w:hAnsi="Times New Roman CYR" w:cs="Times New Roman CYR"/>
        </w:rPr>
        <w:t>данных, представленных органами го</w:t>
      </w:r>
      <w:r w:rsidRPr="00052BF9">
        <w:rPr>
          <w:rFonts w:ascii="Times New Roman CYR" w:hAnsi="Times New Roman CYR" w:cs="Times New Roman CYR"/>
        </w:rPr>
        <w:t>сударственной власти субъектов Российской Федерации, осуществляющих полномочия Российской Федерации по лицензированию образовательной деятельности, можно выделить наиболее значительные расхождения по некоторым показателям эффективности лицензирования образовательной  деятельности между субъектами Российской Федерации.</w:t>
      </w:r>
    </w:p>
    <w:p w:rsidR="009C230E" w:rsidRPr="001829D0" w:rsidRDefault="009C230E" w:rsidP="009C2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По показателю </w:t>
      </w:r>
      <w:r w:rsidRPr="00052B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E036E9">
        <w:rPr>
          <w:rFonts w:ascii="Times New Roman CYR" w:hAnsi="Times New Roman CYR" w:cs="Times New Roman CYR"/>
        </w:rPr>
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</w:r>
      <w:r>
        <w:rPr>
          <w:rFonts w:ascii="Times New Roman CYR" w:hAnsi="Times New Roman CYR" w:cs="Times New Roman CYR"/>
        </w:rPr>
        <w:t xml:space="preserve">» лучшая практика зафиксирована  в  Республике Бурятия (97,9%), </w:t>
      </w:r>
      <w:r w:rsidRPr="009C230E">
        <w:rPr>
          <w:rFonts w:ascii="Times New Roman CYR" w:hAnsi="Times New Roman CYR" w:cs="Times New Roman CYR"/>
        </w:rPr>
        <w:t>Республик</w:t>
      </w:r>
      <w:r>
        <w:rPr>
          <w:rFonts w:ascii="Times New Roman CYR" w:hAnsi="Times New Roman CYR" w:cs="Times New Roman CYR"/>
        </w:rPr>
        <w:t>е</w:t>
      </w:r>
      <w:r w:rsidRPr="009C230E">
        <w:rPr>
          <w:rFonts w:ascii="Times New Roman CYR" w:hAnsi="Times New Roman CYR" w:cs="Times New Roman CYR"/>
        </w:rPr>
        <w:t xml:space="preserve"> Башкортостан</w:t>
      </w:r>
      <w:r>
        <w:rPr>
          <w:rFonts w:ascii="Times New Roman CYR" w:hAnsi="Times New Roman CYR" w:cs="Times New Roman CYR"/>
        </w:rPr>
        <w:t xml:space="preserve"> (75,9%) и</w:t>
      </w:r>
      <w:proofErr w:type="gramEnd"/>
      <w:r>
        <w:rPr>
          <w:rFonts w:ascii="Times New Roman CYR" w:hAnsi="Times New Roman CYR" w:cs="Times New Roman CYR"/>
        </w:rPr>
        <w:t xml:space="preserve"> Астраханской области (67,9%).</w:t>
      </w:r>
    </w:p>
    <w:p w:rsidR="009C230E" w:rsidRDefault="009C230E" w:rsidP="009C2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Pr="009C230E">
        <w:rPr>
          <w:rFonts w:ascii="Times New Roman CYR" w:hAnsi="Times New Roman CYR" w:cs="Times New Roman CYR"/>
        </w:rPr>
        <w:t>62</w:t>
      </w:r>
      <w:r>
        <w:rPr>
          <w:rFonts w:ascii="Times New Roman CYR" w:hAnsi="Times New Roman CYR" w:cs="Times New Roman CYR"/>
        </w:rPr>
        <w:t xml:space="preserve"> субъектах Российской Федерации  заявления в электронной форме не подавались (в </w:t>
      </w:r>
      <w:r w:rsidRPr="00640213">
        <w:rPr>
          <w:rFonts w:ascii="Times New Roman CYR" w:hAnsi="Times New Roman CYR" w:cs="Times New Roman CYR"/>
        </w:rPr>
        <w:t>п.2б</w:t>
      </w:r>
      <w:r>
        <w:rPr>
          <w:rFonts w:ascii="Times New Roman CYR" w:hAnsi="Times New Roman CYR" w:cs="Times New Roman CYR"/>
        </w:rPr>
        <w:t xml:space="preserve"> указаны </w:t>
      </w:r>
      <w:r w:rsidRPr="009C230E">
        <w:rPr>
          <w:rFonts w:ascii="Times New Roman CYR" w:hAnsi="Times New Roman CYR" w:cs="Times New Roman CYR"/>
        </w:rPr>
        <w:t>23</w:t>
      </w:r>
      <w:r>
        <w:rPr>
          <w:rFonts w:ascii="Times New Roman CYR" w:hAnsi="Times New Roman CYR" w:cs="Times New Roman CYR"/>
        </w:rPr>
        <w:t xml:space="preserve"> субъекта Российской Федерации, где принимаются заявления в электронной форме).</w:t>
      </w:r>
    </w:p>
    <w:p w:rsidR="009C230E" w:rsidRPr="00AD63FD" w:rsidRDefault="009C230E" w:rsidP="009C2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По показателю «</w:t>
      </w:r>
      <w:r w:rsidRPr="00AD63FD">
        <w:rPr>
          <w:rFonts w:ascii="Times New Roman CYR" w:hAnsi="Times New Roman CYR" w:cs="Times New Roman CYR"/>
        </w:rPr>
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</w:r>
      <w:r>
        <w:rPr>
          <w:rFonts w:ascii="Times New Roman CYR" w:hAnsi="Times New Roman CYR" w:cs="Times New Roman CYR"/>
        </w:rPr>
        <w:t xml:space="preserve">» </w:t>
      </w:r>
      <w:r w:rsidRPr="00AD63FD">
        <w:rPr>
          <w:rFonts w:ascii="Times New Roman CYR" w:hAnsi="Times New Roman CYR" w:cs="Times New Roman CYR"/>
        </w:rPr>
        <w:t xml:space="preserve">лучшая практика зафиксирована  в </w:t>
      </w:r>
      <w:r>
        <w:rPr>
          <w:rFonts w:ascii="Times New Roman CYR" w:hAnsi="Times New Roman CYR" w:cs="Times New Roman CYR"/>
        </w:rPr>
        <w:t>Ямало-Ненецком автономном округе (</w:t>
      </w:r>
      <w:r w:rsidR="00D26E84">
        <w:rPr>
          <w:rFonts w:ascii="Times New Roman CYR" w:hAnsi="Times New Roman CYR" w:cs="Times New Roman CYR"/>
        </w:rPr>
        <w:t xml:space="preserve">100%), Ростовской области (98,2%) </w:t>
      </w:r>
      <w:r>
        <w:rPr>
          <w:rFonts w:ascii="Times New Roman CYR" w:hAnsi="Times New Roman CYR" w:cs="Times New Roman CYR"/>
        </w:rPr>
        <w:t xml:space="preserve">и </w:t>
      </w:r>
      <w:r w:rsidR="00D26E84">
        <w:rPr>
          <w:rFonts w:ascii="Times New Roman CYR" w:hAnsi="Times New Roman CYR" w:cs="Times New Roman CYR"/>
        </w:rPr>
        <w:t>Республике Башкортостан</w:t>
      </w:r>
      <w:r>
        <w:rPr>
          <w:rFonts w:ascii="Times New Roman CYR" w:hAnsi="Times New Roman CYR" w:cs="Times New Roman CYR"/>
        </w:rPr>
        <w:t xml:space="preserve"> (</w:t>
      </w:r>
      <w:r w:rsidR="00D26E84">
        <w:rPr>
          <w:rFonts w:ascii="Times New Roman CYR" w:hAnsi="Times New Roman CYR" w:cs="Times New Roman CYR"/>
        </w:rPr>
        <w:t>72,6</w:t>
      </w:r>
      <w:r>
        <w:rPr>
          <w:rFonts w:ascii="Times New Roman CYR" w:hAnsi="Times New Roman CYR" w:cs="Times New Roman CYR"/>
        </w:rPr>
        <w:t>%)</w:t>
      </w:r>
      <w:r w:rsidR="00D26E84">
        <w:rPr>
          <w:rFonts w:ascii="Times New Roman CYR" w:hAnsi="Times New Roman CYR" w:cs="Times New Roman CYR"/>
        </w:rPr>
        <w:t>.</w:t>
      </w:r>
      <w:proofErr w:type="gramEnd"/>
    </w:p>
    <w:p w:rsidR="009C230E" w:rsidRDefault="009C230E" w:rsidP="009C2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="00D26E84">
        <w:rPr>
          <w:rFonts w:ascii="Times New Roman CYR" w:hAnsi="Times New Roman CYR" w:cs="Times New Roman CYR"/>
        </w:rPr>
        <w:t>68</w:t>
      </w:r>
      <w:r>
        <w:rPr>
          <w:rFonts w:ascii="Times New Roman CYR" w:hAnsi="Times New Roman CYR" w:cs="Times New Roman CYR"/>
        </w:rPr>
        <w:t xml:space="preserve"> субъект</w:t>
      </w:r>
      <w:r w:rsidR="00D26E84">
        <w:rPr>
          <w:rFonts w:ascii="Times New Roman CYR" w:hAnsi="Times New Roman CYR" w:cs="Times New Roman CYR"/>
        </w:rPr>
        <w:t>ах</w:t>
      </w:r>
      <w:r>
        <w:rPr>
          <w:rFonts w:ascii="Times New Roman CYR" w:hAnsi="Times New Roman CYR" w:cs="Times New Roman CYR"/>
        </w:rPr>
        <w:t xml:space="preserve"> Российской Федерации решения по результатам рассмотрения заявлений </w:t>
      </w:r>
      <w:r w:rsidRPr="00632CF1">
        <w:rPr>
          <w:rFonts w:ascii="Times New Roman CYR" w:hAnsi="Times New Roman CYR" w:cs="Times New Roman CYR"/>
        </w:rPr>
        <w:t xml:space="preserve">в электронной форме </w:t>
      </w:r>
      <w:r>
        <w:rPr>
          <w:rFonts w:ascii="Times New Roman CYR" w:hAnsi="Times New Roman CYR" w:cs="Times New Roman CYR"/>
        </w:rPr>
        <w:t>не направлялись.</w:t>
      </w:r>
    </w:p>
    <w:p w:rsidR="00640213" w:rsidRPr="00640213" w:rsidRDefault="00640213" w:rsidP="0064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0213">
        <w:rPr>
          <w:rFonts w:ascii="Times New Roman CYR" w:hAnsi="Times New Roman CYR" w:cs="Times New Roman CYR"/>
        </w:rPr>
        <w:t xml:space="preserve">По показателю «Средний срок принятия решения о предоставлении лицензии» можно выделить лучшую практику в </w:t>
      </w:r>
      <w:r>
        <w:rPr>
          <w:rFonts w:ascii="Times New Roman CYR" w:hAnsi="Times New Roman CYR" w:cs="Times New Roman CYR"/>
        </w:rPr>
        <w:t>Камчатском крае</w:t>
      </w:r>
      <w:r w:rsidRPr="00640213">
        <w:rPr>
          <w:rFonts w:ascii="Times New Roman CYR" w:hAnsi="Times New Roman CYR" w:cs="Times New Roman CYR"/>
        </w:rPr>
        <w:t>, где средний срок составил наименьшее количество – 1</w:t>
      </w:r>
      <w:r>
        <w:rPr>
          <w:rFonts w:ascii="Times New Roman CYR" w:hAnsi="Times New Roman CYR" w:cs="Times New Roman CYR"/>
        </w:rPr>
        <w:t>1</w:t>
      </w:r>
      <w:r w:rsidRPr="00640213">
        <w:rPr>
          <w:rFonts w:ascii="Times New Roman CYR" w:hAnsi="Times New Roman CYR" w:cs="Times New Roman CYR"/>
        </w:rPr>
        <w:t xml:space="preserve"> дней.  В </w:t>
      </w:r>
      <w:r>
        <w:rPr>
          <w:rFonts w:ascii="Times New Roman CYR" w:hAnsi="Times New Roman CYR" w:cs="Times New Roman CYR"/>
        </w:rPr>
        <w:t>Кабардино-Балкарской Республике и Республике Крым</w:t>
      </w:r>
      <w:r w:rsidRPr="00640213">
        <w:rPr>
          <w:rFonts w:ascii="Times New Roman CYR" w:hAnsi="Times New Roman CYR" w:cs="Times New Roman CYR"/>
        </w:rPr>
        <w:t xml:space="preserve"> средний срок принятия решения о предоставлении лицензии составил </w:t>
      </w:r>
      <w:r>
        <w:rPr>
          <w:rFonts w:ascii="Times New Roman CYR" w:hAnsi="Times New Roman CYR" w:cs="Times New Roman CYR"/>
        </w:rPr>
        <w:t>16</w:t>
      </w:r>
      <w:r w:rsidRPr="00640213">
        <w:rPr>
          <w:rFonts w:ascii="Times New Roman CYR" w:hAnsi="Times New Roman CYR" w:cs="Times New Roman CYR"/>
        </w:rPr>
        <w:t xml:space="preserve"> дней</w:t>
      </w:r>
      <w:r>
        <w:rPr>
          <w:rFonts w:ascii="Times New Roman CYR" w:hAnsi="Times New Roman CYR" w:cs="Times New Roman CYR"/>
        </w:rPr>
        <w:t>.</w:t>
      </w:r>
    </w:p>
    <w:p w:rsidR="00640213" w:rsidRPr="00640213" w:rsidRDefault="00640213" w:rsidP="00640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0213">
        <w:rPr>
          <w:rFonts w:ascii="Times New Roman CYR" w:hAnsi="Times New Roman CYR" w:cs="Times New Roman CYR"/>
        </w:rPr>
        <w:t>Худшая практика среднего срока принятия решения о предоставлении лицензии зафиксирована в Алтайском крае – 40 дней</w:t>
      </w:r>
      <w:r w:rsidR="004F157F">
        <w:rPr>
          <w:rFonts w:ascii="Times New Roman CYR" w:hAnsi="Times New Roman CYR" w:cs="Times New Roman CYR"/>
        </w:rPr>
        <w:t>.</w:t>
      </w:r>
    </w:p>
    <w:p w:rsidR="00632CF1" w:rsidRPr="00640213" w:rsidRDefault="00632CF1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40213">
        <w:rPr>
          <w:rFonts w:ascii="Times New Roman CYR" w:hAnsi="Times New Roman CYR" w:cs="Times New Roman CYR"/>
        </w:rPr>
        <w:lastRenderedPageBreak/>
        <w:t xml:space="preserve">По показателю  «Средний срок принятия решения о переоформлении лицензии»  можно отметить лучшую практику </w:t>
      </w:r>
      <w:r w:rsidR="004F157F">
        <w:rPr>
          <w:rFonts w:ascii="Times New Roman CYR" w:hAnsi="Times New Roman CYR" w:cs="Times New Roman CYR"/>
        </w:rPr>
        <w:t>Нижегородской области и</w:t>
      </w:r>
      <w:r w:rsidRPr="00640213">
        <w:rPr>
          <w:rFonts w:ascii="Times New Roman CYR" w:hAnsi="Times New Roman CYR" w:cs="Times New Roman CYR"/>
        </w:rPr>
        <w:t xml:space="preserve"> </w:t>
      </w:r>
      <w:r w:rsidR="004F157F">
        <w:rPr>
          <w:rFonts w:ascii="Times New Roman CYR" w:hAnsi="Times New Roman CYR" w:cs="Times New Roman CYR"/>
        </w:rPr>
        <w:t>Кабардино-Балкарской Республики</w:t>
      </w:r>
      <w:r w:rsidRPr="00640213">
        <w:rPr>
          <w:rFonts w:ascii="Times New Roman CYR" w:hAnsi="Times New Roman CYR" w:cs="Times New Roman CYR"/>
        </w:rPr>
        <w:t xml:space="preserve">,  где указанное значение составило менее </w:t>
      </w:r>
      <w:r w:rsidR="00EA74D2">
        <w:rPr>
          <w:rFonts w:ascii="Times New Roman CYR" w:hAnsi="Times New Roman CYR" w:cs="Times New Roman CYR"/>
        </w:rPr>
        <w:br/>
      </w:r>
      <w:r w:rsidR="004F157F">
        <w:rPr>
          <w:rFonts w:ascii="Times New Roman CYR" w:hAnsi="Times New Roman CYR" w:cs="Times New Roman CYR"/>
        </w:rPr>
        <w:t xml:space="preserve">4 и 5 </w:t>
      </w:r>
      <w:r w:rsidRPr="00640213">
        <w:rPr>
          <w:rFonts w:ascii="Times New Roman CYR" w:hAnsi="Times New Roman CYR" w:cs="Times New Roman CYR"/>
        </w:rPr>
        <w:t>дней</w:t>
      </w:r>
      <w:r w:rsidR="004F157F">
        <w:rPr>
          <w:rFonts w:ascii="Times New Roman CYR" w:hAnsi="Times New Roman CYR" w:cs="Times New Roman CYR"/>
        </w:rPr>
        <w:t xml:space="preserve"> соответственно</w:t>
      </w:r>
      <w:r w:rsidRPr="00640213">
        <w:rPr>
          <w:rFonts w:ascii="Times New Roman CYR" w:hAnsi="Times New Roman CYR" w:cs="Times New Roman CYR"/>
        </w:rPr>
        <w:t xml:space="preserve">. </w:t>
      </w:r>
    </w:p>
    <w:p w:rsidR="00632CF1" w:rsidRPr="00052BF9" w:rsidRDefault="00632CF1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640213">
        <w:rPr>
          <w:rFonts w:ascii="Times New Roman CYR" w:hAnsi="Times New Roman CYR" w:cs="Times New Roman CYR"/>
        </w:rPr>
        <w:t xml:space="preserve">Худшая практика по среднему сроку принятия решения о переоформлении лицензии в </w:t>
      </w:r>
      <w:r w:rsidR="004F157F">
        <w:rPr>
          <w:rFonts w:ascii="Times New Roman CYR" w:hAnsi="Times New Roman CYR" w:cs="Times New Roman CYR"/>
        </w:rPr>
        <w:t>Астраханской, Мурманской</w:t>
      </w:r>
      <w:r w:rsidRPr="00640213">
        <w:rPr>
          <w:rFonts w:ascii="Times New Roman CYR" w:hAnsi="Times New Roman CYR" w:cs="Times New Roman CYR"/>
        </w:rPr>
        <w:t xml:space="preserve"> и Курской  областях  – 2</w:t>
      </w:r>
      <w:r w:rsidR="004F157F">
        <w:rPr>
          <w:rFonts w:ascii="Times New Roman CYR" w:hAnsi="Times New Roman CYR" w:cs="Times New Roman CYR"/>
        </w:rPr>
        <w:t>5</w:t>
      </w:r>
      <w:r w:rsidRPr="00640213">
        <w:rPr>
          <w:rFonts w:ascii="Times New Roman CYR" w:hAnsi="Times New Roman CYR" w:cs="Times New Roman CYR"/>
        </w:rPr>
        <w:t xml:space="preserve"> и более дней.</w:t>
      </w:r>
      <w:r w:rsidRPr="00052BF9">
        <w:rPr>
          <w:rFonts w:ascii="Times New Roman CYR" w:hAnsi="Times New Roman CYR" w:cs="Times New Roman CYR"/>
        </w:rPr>
        <w:t xml:space="preserve"> </w:t>
      </w:r>
      <w:proofErr w:type="gramEnd"/>
    </w:p>
    <w:p w:rsidR="006E561E" w:rsidRDefault="006E561E" w:rsidP="00C73A5E">
      <w:pPr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По показателю «</w:t>
      </w:r>
      <w:r w:rsidRPr="00E036E9">
        <w:rPr>
          <w:rFonts w:ascii="Times New Roman CYR" w:hAnsi="Times New Roman CYR" w:cs="Times New Roman CYR"/>
        </w:rPr>
        <w:t>Количество грубых нарушений лицензионных требований, выявленных по результатам проверок лицензиатов</w:t>
      </w:r>
      <w:r>
        <w:rPr>
          <w:rFonts w:ascii="Times New Roman CYR" w:hAnsi="Times New Roman CYR" w:cs="Times New Roman CYR"/>
        </w:rPr>
        <w:t xml:space="preserve">» </w:t>
      </w:r>
      <w:r w:rsidRPr="00E036E9">
        <w:rPr>
          <w:rFonts w:ascii="Times New Roman CYR" w:hAnsi="Times New Roman CYR" w:cs="Times New Roman CYR"/>
        </w:rPr>
        <w:t xml:space="preserve">лучшая практика зафиксирована в </w:t>
      </w:r>
      <w:r>
        <w:rPr>
          <w:rFonts w:ascii="Times New Roman CYR" w:hAnsi="Times New Roman CYR" w:cs="Times New Roman CYR"/>
        </w:rPr>
        <w:t xml:space="preserve">10 субъектах Российской Федерации, где такие случаи выявлены не были </w:t>
      </w:r>
      <w:r>
        <w:t>(</w:t>
      </w:r>
      <w:r w:rsidRPr="006E561E">
        <w:rPr>
          <w:rFonts w:ascii="Times New Roman CYR" w:hAnsi="Times New Roman CYR" w:cs="Times New Roman CYR"/>
        </w:rPr>
        <w:t>Республика Саха (Якутия)</w:t>
      </w:r>
      <w:r>
        <w:rPr>
          <w:rFonts w:ascii="Times New Roman CYR" w:hAnsi="Times New Roman CYR" w:cs="Times New Roman CYR"/>
        </w:rPr>
        <w:t xml:space="preserve">, </w:t>
      </w:r>
      <w:r w:rsidRPr="006E561E">
        <w:rPr>
          <w:rFonts w:ascii="Times New Roman CYR" w:hAnsi="Times New Roman CYR" w:cs="Times New Roman CYR"/>
        </w:rPr>
        <w:t>Ненецкий автономный округ, Карачаево-Черкесская Республика</w:t>
      </w:r>
      <w:r>
        <w:rPr>
          <w:rFonts w:ascii="Times New Roman CYR" w:hAnsi="Times New Roman CYR" w:cs="Times New Roman CYR"/>
        </w:rPr>
        <w:t xml:space="preserve">, </w:t>
      </w:r>
      <w:r w:rsidRPr="006E561E">
        <w:rPr>
          <w:rFonts w:ascii="Times New Roman CYR" w:hAnsi="Times New Roman CYR" w:cs="Times New Roman CYR"/>
        </w:rPr>
        <w:t>Республика Ингушетия</w:t>
      </w:r>
      <w:r>
        <w:rPr>
          <w:rFonts w:ascii="Times New Roman CYR" w:hAnsi="Times New Roman CYR" w:cs="Times New Roman CYR"/>
        </w:rPr>
        <w:t xml:space="preserve">, </w:t>
      </w:r>
      <w:r w:rsidRPr="006E561E">
        <w:rPr>
          <w:rFonts w:ascii="Times New Roman CYR" w:hAnsi="Times New Roman CYR" w:cs="Times New Roman CYR"/>
        </w:rPr>
        <w:t>Республика Алтай</w:t>
      </w:r>
      <w:r>
        <w:rPr>
          <w:rFonts w:ascii="Times New Roman CYR" w:hAnsi="Times New Roman CYR" w:cs="Times New Roman CYR"/>
        </w:rPr>
        <w:t xml:space="preserve">, </w:t>
      </w:r>
      <w:r w:rsidRPr="006E561E">
        <w:rPr>
          <w:rFonts w:ascii="Times New Roman CYR" w:hAnsi="Times New Roman CYR" w:cs="Times New Roman CYR"/>
        </w:rPr>
        <w:t>Ивановская область,</w:t>
      </w:r>
      <w:r>
        <w:rPr>
          <w:rFonts w:ascii="Times New Roman CYR" w:hAnsi="Times New Roman CYR" w:cs="Times New Roman CYR"/>
        </w:rPr>
        <w:t xml:space="preserve"> </w:t>
      </w:r>
      <w:r w:rsidRPr="006E561E">
        <w:rPr>
          <w:rFonts w:ascii="Times New Roman CYR" w:hAnsi="Times New Roman CYR" w:cs="Times New Roman CYR"/>
        </w:rPr>
        <w:t>Рязанская область</w:t>
      </w:r>
      <w:r>
        <w:rPr>
          <w:rFonts w:ascii="Times New Roman CYR" w:hAnsi="Times New Roman CYR" w:cs="Times New Roman CYR"/>
        </w:rPr>
        <w:t xml:space="preserve">, </w:t>
      </w:r>
      <w:r w:rsidRPr="006E561E">
        <w:rPr>
          <w:rFonts w:ascii="Times New Roman CYR" w:hAnsi="Times New Roman CYR" w:cs="Times New Roman CYR"/>
        </w:rPr>
        <w:t>Тульская область</w:t>
      </w:r>
      <w:r>
        <w:rPr>
          <w:rFonts w:ascii="Times New Roman CYR" w:hAnsi="Times New Roman CYR" w:cs="Times New Roman CYR"/>
        </w:rPr>
        <w:t xml:space="preserve">, </w:t>
      </w:r>
      <w:r w:rsidR="00EA74D2">
        <w:rPr>
          <w:rFonts w:ascii="Times New Roman CYR" w:hAnsi="Times New Roman CYR" w:cs="Times New Roman CYR"/>
        </w:rPr>
        <w:br/>
      </w:r>
      <w:r w:rsidRPr="006E561E">
        <w:rPr>
          <w:rFonts w:ascii="Times New Roman CYR" w:hAnsi="Times New Roman CYR" w:cs="Times New Roman CYR"/>
        </w:rPr>
        <w:t>г. Севастополь</w:t>
      </w:r>
      <w:r>
        <w:rPr>
          <w:rFonts w:ascii="Times New Roman CYR" w:hAnsi="Times New Roman CYR" w:cs="Times New Roman CYR"/>
        </w:rPr>
        <w:t xml:space="preserve">, </w:t>
      </w:r>
      <w:r w:rsidRPr="006E561E">
        <w:rPr>
          <w:rFonts w:ascii="Times New Roman CYR" w:hAnsi="Times New Roman CYR" w:cs="Times New Roman CYR"/>
        </w:rPr>
        <w:t>Республика Калмыкия</w:t>
      </w:r>
      <w:r>
        <w:rPr>
          <w:rFonts w:ascii="Times New Roman CYR" w:hAnsi="Times New Roman CYR" w:cs="Times New Roman CYR"/>
        </w:rPr>
        <w:t xml:space="preserve">). </w:t>
      </w:r>
      <w:proofErr w:type="gramEnd"/>
    </w:p>
    <w:p w:rsidR="006E561E" w:rsidRDefault="006E561E" w:rsidP="006E5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E036E9">
        <w:rPr>
          <w:rFonts w:ascii="Times New Roman CYR" w:hAnsi="Times New Roman CYR" w:cs="Times New Roman CYR"/>
        </w:rPr>
        <w:t xml:space="preserve">Худшая практика зафиксирована в </w:t>
      </w:r>
      <w:r w:rsidRPr="00197E3C">
        <w:rPr>
          <w:rFonts w:ascii="Times New Roman CYR" w:hAnsi="Times New Roman CYR" w:cs="Times New Roman CYR"/>
        </w:rPr>
        <w:t>Республик</w:t>
      </w:r>
      <w:r>
        <w:rPr>
          <w:rFonts w:ascii="Times New Roman CYR" w:hAnsi="Times New Roman CYR" w:cs="Times New Roman CYR"/>
        </w:rPr>
        <w:t>е</w:t>
      </w:r>
      <w:r w:rsidRPr="00197E3C">
        <w:rPr>
          <w:rFonts w:ascii="Times New Roman CYR" w:hAnsi="Times New Roman CYR" w:cs="Times New Roman CYR"/>
        </w:rPr>
        <w:t xml:space="preserve"> Татарстан (Татарстан)</w:t>
      </w:r>
      <w:r>
        <w:rPr>
          <w:rFonts w:ascii="Times New Roman CYR" w:hAnsi="Times New Roman CYR" w:cs="Times New Roman CYR"/>
        </w:rPr>
        <w:t xml:space="preserve"> – 402 случая (16,3% от общего количества выявленных грубых нарушений лицензионных требований) и Кемеровской области – 163 случая (6,6%).</w:t>
      </w:r>
    </w:p>
    <w:p w:rsidR="009622DF" w:rsidRPr="00E036E9" w:rsidRDefault="009622DF" w:rsidP="0096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E036E9">
        <w:rPr>
          <w:rFonts w:ascii="Times New Roman CYR" w:hAnsi="Times New Roman CYR" w:cs="Times New Roman CYR"/>
        </w:rPr>
        <w:t xml:space="preserve">По показателю </w:t>
      </w:r>
      <w:r>
        <w:rPr>
          <w:rFonts w:ascii="Times New Roman CYR" w:hAnsi="Times New Roman CYR" w:cs="Times New Roman CYR"/>
        </w:rPr>
        <w:t>«</w:t>
      </w:r>
      <w:r w:rsidRPr="00E036E9">
        <w:rPr>
          <w:rFonts w:ascii="Times New Roman CYR" w:hAnsi="Times New Roman CYR" w:cs="Times New Roman CYR"/>
        </w:rPr>
        <w:t xml:space="preserve">Доля заявлений лицензирующего органа, направленных в органы прокуратуры, о согласовании проведения внеплановых выездных проверок, </w:t>
      </w:r>
      <w:r w:rsidRPr="00CA5AAE">
        <w:rPr>
          <w:rFonts w:ascii="Times New Roman CYR" w:hAnsi="Times New Roman CYR" w:cs="Times New Roman CYR"/>
        </w:rPr>
        <w:t>в согласовании которых было отказано</w:t>
      </w:r>
      <w:r w:rsidRPr="00E036E9">
        <w:rPr>
          <w:rFonts w:ascii="Times New Roman CYR" w:hAnsi="Times New Roman CYR" w:cs="Times New Roman CYR"/>
        </w:rPr>
        <w:t xml:space="preserve"> (в процентах от общего числа заявлений лицензирующего органа, направленных в органы прокуратуры)</w:t>
      </w:r>
      <w:r>
        <w:rPr>
          <w:rFonts w:ascii="Times New Roman CYR" w:hAnsi="Times New Roman CYR" w:cs="Times New Roman CYR"/>
        </w:rPr>
        <w:t>»</w:t>
      </w:r>
      <w:r w:rsidRPr="00E036E9">
        <w:t xml:space="preserve"> </w:t>
      </w:r>
      <w:r w:rsidRPr="00E036E9">
        <w:rPr>
          <w:rFonts w:ascii="Times New Roman CYR" w:hAnsi="Times New Roman CYR" w:cs="Times New Roman CYR"/>
        </w:rPr>
        <w:t xml:space="preserve">лучшая практика зафиксирована в </w:t>
      </w:r>
      <w:r>
        <w:rPr>
          <w:rFonts w:ascii="Times New Roman CYR" w:hAnsi="Times New Roman CYR" w:cs="Times New Roman CYR"/>
        </w:rPr>
        <w:t>Красноярском крае</w:t>
      </w:r>
      <w:r w:rsidR="00CA5AAE">
        <w:rPr>
          <w:rFonts w:ascii="Times New Roman CYR" w:hAnsi="Times New Roman CYR" w:cs="Times New Roman CYR"/>
        </w:rPr>
        <w:t xml:space="preserve"> </w:t>
      </w:r>
      <w:r w:rsidR="00CA5AAE" w:rsidRPr="00CA5AAE">
        <w:rPr>
          <w:rFonts w:ascii="Times New Roman CYR" w:hAnsi="Times New Roman CYR" w:cs="Times New Roman CYR"/>
        </w:rPr>
        <w:t xml:space="preserve">– </w:t>
      </w:r>
      <w:r w:rsidRPr="00CA5AAE">
        <w:rPr>
          <w:rFonts w:ascii="Times New Roman CYR" w:hAnsi="Times New Roman CYR" w:cs="Times New Roman CYR"/>
        </w:rPr>
        <w:t>все 5 поданных проверок были согласованы</w:t>
      </w:r>
      <w:r>
        <w:rPr>
          <w:rFonts w:ascii="Times New Roman CYR" w:hAnsi="Times New Roman CYR" w:cs="Times New Roman CYR"/>
        </w:rPr>
        <w:t>.</w:t>
      </w:r>
    </w:p>
    <w:p w:rsidR="009622DF" w:rsidRDefault="009622DF" w:rsidP="0096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E036E9">
        <w:rPr>
          <w:rFonts w:ascii="Times New Roman CYR" w:hAnsi="Times New Roman CYR" w:cs="Times New Roman CYR"/>
        </w:rPr>
        <w:t xml:space="preserve">Худшая практика зафиксирована в  </w:t>
      </w:r>
      <w:r w:rsidR="004E0B02">
        <w:rPr>
          <w:rFonts w:ascii="Times New Roman CYR" w:hAnsi="Times New Roman CYR" w:cs="Times New Roman CYR"/>
        </w:rPr>
        <w:t>Новосибирской области</w:t>
      </w:r>
      <w:r w:rsidR="00145F0E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 xml:space="preserve">отказано в согласовании по </w:t>
      </w:r>
      <w:r w:rsidR="004E0B02">
        <w:rPr>
          <w:rFonts w:ascii="Times New Roman CYR" w:hAnsi="Times New Roman CYR" w:cs="Times New Roman CYR"/>
        </w:rPr>
        <w:t>27</w:t>
      </w:r>
      <w:r>
        <w:rPr>
          <w:rFonts w:ascii="Times New Roman CYR" w:hAnsi="Times New Roman CYR" w:cs="Times New Roman CYR"/>
        </w:rPr>
        <w:t xml:space="preserve"> заявлениям из </w:t>
      </w:r>
      <w:r w:rsidR="004E0B02">
        <w:rPr>
          <w:rFonts w:ascii="Times New Roman CYR" w:hAnsi="Times New Roman CYR" w:cs="Times New Roman CYR"/>
        </w:rPr>
        <w:t>32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направленных</w:t>
      </w:r>
      <w:proofErr w:type="gramEnd"/>
      <w:r w:rsidR="004E0B02">
        <w:rPr>
          <w:rFonts w:ascii="Times New Roman CYR" w:hAnsi="Times New Roman CYR" w:cs="Times New Roman CYR"/>
        </w:rPr>
        <w:t xml:space="preserve"> и Самарской области</w:t>
      </w:r>
      <w:r w:rsidR="00145F0E">
        <w:rPr>
          <w:rFonts w:ascii="Times New Roman CYR" w:hAnsi="Times New Roman CYR" w:cs="Times New Roman CYR"/>
        </w:rPr>
        <w:t xml:space="preserve"> – </w:t>
      </w:r>
      <w:r w:rsidR="004E0B02">
        <w:rPr>
          <w:rFonts w:ascii="Times New Roman CYR" w:hAnsi="Times New Roman CYR" w:cs="Times New Roman CYR"/>
        </w:rPr>
        <w:t>отказано в согласовании по 4 заявлениям из 5 направленных</w:t>
      </w:r>
      <w:r>
        <w:rPr>
          <w:rFonts w:ascii="Times New Roman CYR" w:hAnsi="Times New Roman CYR" w:cs="Times New Roman CYR"/>
        </w:rPr>
        <w:t>.</w:t>
      </w:r>
    </w:p>
    <w:p w:rsidR="00A50539" w:rsidRDefault="00A50539" w:rsidP="00A5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50539">
        <w:rPr>
          <w:rFonts w:ascii="Times New Roman CYR" w:hAnsi="Times New Roman CYR" w:cs="Times New Roman CYR"/>
        </w:rPr>
        <w:t xml:space="preserve">По показателю «Доля решений суда об удовлетворении заявлений лицензирующего органа об аннулировании лицензии (в процентах от общего </w:t>
      </w:r>
      <w:r w:rsidR="00145F0E">
        <w:rPr>
          <w:rFonts w:ascii="Times New Roman CYR" w:hAnsi="Times New Roman CYR" w:cs="Times New Roman CYR"/>
        </w:rPr>
        <w:t>количества</w:t>
      </w:r>
      <w:r w:rsidRPr="00A50539">
        <w:rPr>
          <w:rFonts w:ascii="Times New Roman CYR" w:hAnsi="Times New Roman CYR" w:cs="Times New Roman CYR"/>
        </w:rPr>
        <w:t xml:space="preserve"> обращений лицензирующего органа в суд с заявлениями об аннулировании лицензий)»  можно выделить лучшую практику</w:t>
      </w:r>
      <w:r w:rsidR="00145F0E">
        <w:rPr>
          <w:rFonts w:ascii="Times New Roman CYR" w:hAnsi="Times New Roman CYR" w:cs="Times New Roman CYR"/>
        </w:rPr>
        <w:t xml:space="preserve">, где этот показатель составляет 100% в </w:t>
      </w:r>
      <w:r w:rsidR="00145F0E" w:rsidRPr="00207227">
        <w:rPr>
          <w:rFonts w:ascii="Times New Roman CYR" w:hAnsi="Times New Roman CYR" w:cs="Times New Roman CYR"/>
        </w:rPr>
        <w:t>следующих субъектах Р</w:t>
      </w:r>
      <w:r w:rsidR="00EA74D2" w:rsidRPr="00207227">
        <w:rPr>
          <w:rFonts w:ascii="Times New Roman CYR" w:hAnsi="Times New Roman CYR" w:cs="Times New Roman CYR"/>
        </w:rPr>
        <w:t>оссийской Федерации</w:t>
      </w:r>
      <w:r w:rsidR="00145F0E" w:rsidRPr="00207227">
        <w:rPr>
          <w:rFonts w:ascii="Times New Roman CYR" w:hAnsi="Times New Roman CYR" w:cs="Times New Roman CYR"/>
        </w:rPr>
        <w:t>:</w:t>
      </w:r>
      <w:r w:rsidRPr="00A50539">
        <w:rPr>
          <w:rFonts w:ascii="Times New Roman CYR" w:hAnsi="Times New Roman CYR" w:cs="Times New Roman CYR"/>
        </w:rPr>
        <w:t xml:space="preserve"> </w:t>
      </w:r>
      <w:proofErr w:type="gramStart"/>
      <w:r w:rsidR="00145F0E">
        <w:rPr>
          <w:rFonts w:ascii="Times New Roman CYR" w:hAnsi="Times New Roman CYR" w:cs="Times New Roman CYR"/>
        </w:rPr>
        <w:t>Республиках Татарстан (Татарстан) и Коми, Вологодской, Кемеровской, Курганской, Липецкой, Саратовской областях и Ямало-Ненецком</w:t>
      </w:r>
      <w:r w:rsidR="00145F0E" w:rsidRPr="00145F0E">
        <w:rPr>
          <w:rFonts w:ascii="Times New Roman CYR" w:hAnsi="Times New Roman CYR" w:cs="Times New Roman CYR"/>
        </w:rPr>
        <w:t xml:space="preserve"> автономн</w:t>
      </w:r>
      <w:r w:rsidR="00145F0E">
        <w:rPr>
          <w:rFonts w:ascii="Times New Roman CYR" w:hAnsi="Times New Roman CYR" w:cs="Times New Roman CYR"/>
        </w:rPr>
        <w:t>ом</w:t>
      </w:r>
      <w:r w:rsidR="00145F0E" w:rsidRPr="00145F0E">
        <w:rPr>
          <w:rFonts w:ascii="Times New Roman CYR" w:hAnsi="Times New Roman CYR" w:cs="Times New Roman CYR"/>
        </w:rPr>
        <w:t xml:space="preserve"> округ</w:t>
      </w:r>
      <w:r w:rsidR="00145F0E">
        <w:rPr>
          <w:rFonts w:ascii="Times New Roman CYR" w:hAnsi="Times New Roman CYR" w:cs="Times New Roman CYR"/>
        </w:rPr>
        <w:t>е</w:t>
      </w:r>
      <w:r w:rsidRPr="00A5053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E2133B">
        <w:rPr>
          <w:rFonts w:ascii="Times New Roman CYR" w:hAnsi="Times New Roman CYR" w:cs="Times New Roman CYR"/>
        </w:rPr>
        <w:t xml:space="preserve"> </w:t>
      </w:r>
      <w:proofErr w:type="gramEnd"/>
    </w:p>
    <w:p w:rsidR="001B102F" w:rsidRPr="00ED467C" w:rsidRDefault="00632CF1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Данных о п</w:t>
      </w:r>
      <w:r w:rsidRPr="00ED467C">
        <w:rPr>
          <w:rFonts w:ascii="Times New Roman CYR" w:hAnsi="Times New Roman CYR" w:cs="Times New Roman CYR"/>
        </w:rPr>
        <w:t>ровер</w:t>
      </w:r>
      <w:r>
        <w:rPr>
          <w:rFonts w:ascii="Times New Roman CYR" w:hAnsi="Times New Roman CYR" w:cs="Times New Roman CYR"/>
        </w:rPr>
        <w:t>ках</w:t>
      </w:r>
      <w:r w:rsidRPr="00ED467C">
        <w:rPr>
          <w:rFonts w:ascii="Times New Roman CYR" w:hAnsi="Times New Roman CYR" w:cs="Times New Roman CYR"/>
        </w:rPr>
        <w:t xml:space="preserve">, проведенных лицензирующим органом, результаты </w:t>
      </w:r>
      <w:r w:rsidR="001B102F" w:rsidRPr="00ED467C">
        <w:rPr>
          <w:rFonts w:ascii="Times New Roman CYR" w:hAnsi="Times New Roman CYR" w:cs="Times New Roman CYR"/>
        </w:rPr>
        <w:t>которых признаны недействительными</w:t>
      </w:r>
      <w:r w:rsidR="001B102F">
        <w:rPr>
          <w:rFonts w:ascii="Times New Roman CYR" w:hAnsi="Times New Roman CYR" w:cs="Times New Roman CYR"/>
        </w:rPr>
        <w:t>, зафиксировано не было</w:t>
      </w:r>
      <w:r w:rsidR="001B102F" w:rsidRPr="00FA7802">
        <w:rPr>
          <w:rFonts w:ascii="Times New Roman CYR" w:hAnsi="Times New Roman CYR" w:cs="Times New Roman CYR"/>
        </w:rPr>
        <w:t>.</w:t>
      </w:r>
      <w:r w:rsidR="001B102F" w:rsidRPr="00ED467C">
        <w:rPr>
          <w:rFonts w:ascii="Times New Roman CYR" w:hAnsi="Times New Roman CYR" w:cs="Times New Roman CYR"/>
        </w:rPr>
        <w:t xml:space="preserve"> </w:t>
      </w:r>
    </w:p>
    <w:p w:rsidR="00DF3529" w:rsidRDefault="00DF3529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Данных о </w:t>
      </w:r>
      <w:r w:rsidR="00AB09DB" w:rsidRPr="00052BF9">
        <w:rPr>
          <w:rFonts w:ascii="Times New Roman CYR" w:hAnsi="Times New Roman CYR" w:cs="Times New Roman CYR"/>
        </w:rPr>
        <w:t xml:space="preserve"> провер</w:t>
      </w:r>
      <w:r>
        <w:rPr>
          <w:rFonts w:ascii="Times New Roman CYR" w:hAnsi="Times New Roman CYR" w:cs="Times New Roman CYR"/>
        </w:rPr>
        <w:t>ках</w:t>
      </w:r>
      <w:r w:rsidR="00AB09DB" w:rsidRPr="00052BF9">
        <w:rPr>
          <w:rFonts w:ascii="Times New Roman CYR" w:hAnsi="Times New Roman CYR" w:cs="Times New Roman CYR"/>
        </w:rPr>
        <w:t xml:space="preserve">, проведенных лицензирующим органом с нарушением требований законодательства Российской Федерации о порядке их проведения, по </w:t>
      </w:r>
      <w:proofErr w:type="gramStart"/>
      <w:r w:rsidR="00AB09DB" w:rsidRPr="00052BF9">
        <w:rPr>
          <w:rFonts w:ascii="Times New Roman CYR" w:hAnsi="Times New Roman CYR" w:cs="Times New Roman CYR"/>
        </w:rPr>
        <w:t>результатам</w:t>
      </w:r>
      <w:proofErr w:type="gramEnd"/>
      <w:r w:rsidR="00AB09DB" w:rsidRPr="00052BF9">
        <w:rPr>
          <w:rFonts w:ascii="Times New Roman CYR" w:hAnsi="Times New Roman CYR" w:cs="Times New Roman CYR"/>
        </w:rPr>
        <w:t xml:space="preserve"> выявления которых к должностным лицам применены меры дисциплинарного и административного наказания</w:t>
      </w:r>
      <w:r w:rsidR="00145F0E">
        <w:rPr>
          <w:rFonts w:ascii="Times New Roman CYR" w:hAnsi="Times New Roman CYR" w:cs="Times New Roman CYR"/>
        </w:rPr>
        <w:t>,</w:t>
      </w:r>
      <w:r w:rsidR="00AB09DB" w:rsidRPr="00052BF9">
        <w:rPr>
          <w:rFonts w:ascii="Times New Roman CYR" w:hAnsi="Times New Roman CYR" w:cs="Times New Roman CYR"/>
        </w:rPr>
        <w:t xml:space="preserve"> </w:t>
      </w:r>
      <w:r w:rsidR="00FD155F">
        <w:rPr>
          <w:rFonts w:ascii="Times New Roman CYR" w:hAnsi="Times New Roman CYR" w:cs="Times New Roman CYR"/>
        </w:rPr>
        <w:t>зафиксировано</w:t>
      </w:r>
      <w:r>
        <w:rPr>
          <w:rFonts w:ascii="Times New Roman CYR" w:hAnsi="Times New Roman CYR" w:cs="Times New Roman CYR"/>
        </w:rPr>
        <w:t xml:space="preserve"> не было. </w:t>
      </w:r>
      <w:r w:rsidR="00FD155F">
        <w:rPr>
          <w:rFonts w:ascii="Times New Roman CYR" w:hAnsi="Times New Roman CYR" w:cs="Times New Roman CYR"/>
        </w:rPr>
        <w:t xml:space="preserve"> </w:t>
      </w:r>
    </w:p>
    <w:p w:rsidR="00015DD5" w:rsidRDefault="00015DD5" w:rsidP="00E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60712D" w:rsidRPr="00DF3529" w:rsidRDefault="0060712D" w:rsidP="00215B83">
      <w:pPr>
        <w:spacing w:before="200" w:line="240" w:lineRule="auto"/>
        <w:ind w:firstLine="709"/>
        <w:jc w:val="both"/>
        <w:outlineLvl w:val="1"/>
        <w:rPr>
          <w:b/>
        </w:rPr>
      </w:pPr>
      <w:bookmarkStart w:id="25" w:name="_Toc381000258"/>
      <w:bookmarkStart w:id="26" w:name="_Toc381779677"/>
      <w:bookmarkStart w:id="27" w:name="_Toc475535820"/>
      <w:r w:rsidRPr="00EC730E">
        <w:rPr>
          <w:b/>
        </w:rPr>
        <w:lastRenderedPageBreak/>
        <w:t>г) Перечень субъектов Российской Федерации, не представивших доклады</w:t>
      </w:r>
      <w:bookmarkEnd w:id="25"/>
      <w:bookmarkEnd w:id="26"/>
      <w:bookmarkEnd w:id="27"/>
    </w:p>
    <w:p w:rsidR="0060712D" w:rsidRPr="00DF3529" w:rsidRDefault="0060712D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F3529">
        <w:rPr>
          <w:rFonts w:ascii="Times New Roman CYR" w:hAnsi="Times New Roman CYR" w:cs="Times New Roman CYR"/>
        </w:rPr>
        <w:t xml:space="preserve">Доклады о лицензировании образовательной деятельности в Рособрнадзор представлены всеми органами </w:t>
      </w:r>
      <w:r w:rsidR="00EA0721" w:rsidRPr="00DF3529">
        <w:rPr>
          <w:rFonts w:ascii="Times New Roman CYR" w:hAnsi="Times New Roman CYR" w:cs="Times New Roman CYR"/>
        </w:rPr>
        <w:t xml:space="preserve">государственной </w:t>
      </w:r>
      <w:r w:rsidRPr="00DF3529">
        <w:rPr>
          <w:rFonts w:ascii="Times New Roman CYR" w:hAnsi="Times New Roman CYR" w:cs="Times New Roman CYR"/>
        </w:rPr>
        <w:t xml:space="preserve"> власти субъектов Российской Федерации, осуществляющими </w:t>
      </w:r>
      <w:r w:rsidR="00222223" w:rsidRPr="00DF3529">
        <w:rPr>
          <w:rFonts w:ascii="Times New Roman CYR" w:hAnsi="Times New Roman CYR" w:cs="Times New Roman CYR"/>
        </w:rPr>
        <w:t>переданн</w:t>
      </w:r>
      <w:r w:rsidR="00222223">
        <w:rPr>
          <w:rFonts w:ascii="Times New Roman CYR" w:hAnsi="Times New Roman CYR" w:cs="Times New Roman CYR"/>
        </w:rPr>
        <w:t>ое</w:t>
      </w:r>
      <w:r w:rsidR="00222223" w:rsidRPr="00DF3529">
        <w:rPr>
          <w:rFonts w:ascii="Times New Roman CYR" w:hAnsi="Times New Roman CYR" w:cs="Times New Roman CYR"/>
        </w:rPr>
        <w:t xml:space="preserve"> полномочи</w:t>
      </w:r>
      <w:r w:rsidR="00222223">
        <w:rPr>
          <w:rFonts w:ascii="Times New Roman CYR" w:hAnsi="Times New Roman CYR" w:cs="Times New Roman CYR"/>
        </w:rPr>
        <w:t>е</w:t>
      </w:r>
      <w:r w:rsidR="00222223" w:rsidRPr="00DF3529">
        <w:rPr>
          <w:rFonts w:ascii="Times New Roman CYR" w:hAnsi="Times New Roman CYR" w:cs="Times New Roman CYR"/>
        </w:rPr>
        <w:t xml:space="preserve"> </w:t>
      </w:r>
      <w:r w:rsidRPr="00DF3529">
        <w:rPr>
          <w:rFonts w:ascii="Times New Roman CYR" w:hAnsi="Times New Roman CYR" w:cs="Times New Roman CYR"/>
        </w:rPr>
        <w:t>Российской Федерации в сфере образования</w:t>
      </w:r>
      <w:r w:rsidR="00222223">
        <w:rPr>
          <w:rFonts w:ascii="Times New Roman CYR" w:hAnsi="Times New Roman CYR" w:cs="Times New Roman CYR"/>
        </w:rPr>
        <w:t xml:space="preserve"> по лицензированию образовательной деятельности</w:t>
      </w:r>
      <w:r w:rsidR="00577F8C" w:rsidRPr="00DF3529">
        <w:rPr>
          <w:rFonts w:ascii="Times New Roman CYR" w:hAnsi="Times New Roman CYR" w:cs="Times New Roman CYR"/>
        </w:rPr>
        <w:t>.</w:t>
      </w:r>
    </w:p>
    <w:p w:rsidR="00874A6F" w:rsidRPr="004F4985" w:rsidRDefault="00874A6F" w:rsidP="00215B83">
      <w:pPr>
        <w:ind w:firstLine="567"/>
        <w:jc w:val="center"/>
        <w:rPr>
          <w:b/>
          <w:color w:val="76923C" w:themeColor="accent3" w:themeShade="BF"/>
          <w:sz w:val="32"/>
        </w:rPr>
      </w:pPr>
    </w:p>
    <w:p w:rsidR="0060712D" w:rsidRDefault="0060712D" w:rsidP="002912F7">
      <w:pPr>
        <w:spacing w:before="120"/>
        <w:jc w:val="center"/>
        <w:outlineLvl w:val="0"/>
        <w:rPr>
          <w:b/>
        </w:rPr>
      </w:pPr>
      <w:bookmarkStart w:id="28" w:name="_Toc475535821"/>
      <w:r w:rsidRPr="00DC3EC4">
        <w:rPr>
          <w:b/>
        </w:rPr>
        <w:t>Раздел</w:t>
      </w:r>
      <w:r>
        <w:rPr>
          <w:b/>
        </w:rPr>
        <w:t xml:space="preserve"> 4</w:t>
      </w:r>
      <w:r w:rsidRPr="00DC3EC4">
        <w:rPr>
          <w:b/>
        </w:rPr>
        <w:t>. Анализ и оценка эффективности лицензирования образовательной деятельности</w:t>
      </w:r>
      <w:bookmarkEnd w:id="28"/>
    </w:p>
    <w:p w:rsidR="00964B3F" w:rsidRPr="00D97937" w:rsidRDefault="00964B3F" w:rsidP="00215B83">
      <w:pPr>
        <w:spacing w:before="200" w:line="240" w:lineRule="auto"/>
        <w:ind w:firstLine="709"/>
        <w:jc w:val="both"/>
        <w:outlineLvl w:val="1"/>
        <w:rPr>
          <w:b/>
        </w:rPr>
      </w:pPr>
      <w:bookmarkStart w:id="29" w:name="_Toc475535822"/>
      <w:bookmarkStart w:id="30" w:name="_Toc381000261"/>
      <w:bookmarkStart w:id="31" w:name="_Toc381779680"/>
      <w:r w:rsidRPr="00B5104F">
        <w:rPr>
          <w:b/>
        </w:rPr>
        <w:t>а) анализ и оценка показателей эффективности лицензирования образовательной деятельности</w:t>
      </w:r>
      <w:bookmarkEnd w:id="29"/>
    </w:p>
    <w:p w:rsidR="00964B3F" w:rsidRPr="00675283" w:rsidRDefault="00964B3F" w:rsidP="00200886">
      <w:pPr>
        <w:suppressAutoHyphens/>
        <w:spacing w:after="0" w:line="240" w:lineRule="auto"/>
        <w:ind w:firstLine="709"/>
        <w:jc w:val="both"/>
      </w:pPr>
      <w:proofErr w:type="gramStart"/>
      <w:r w:rsidRPr="00675283">
        <w:rPr>
          <w:rFonts w:ascii="Times New Roman CYR" w:hAnsi="Times New Roman CYR" w:cs="Times New Roman CYR"/>
        </w:rPr>
        <w:t xml:space="preserve">При анализе и оценке эффективности лицензирования образовательной деятельности, осуществляемой лицензирующими органами субъектов Российской Федерации, </w:t>
      </w:r>
      <w:r w:rsidR="00DF3529">
        <w:rPr>
          <w:rFonts w:ascii="Times New Roman CYR" w:hAnsi="Times New Roman CYR" w:cs="Times New Roman CYR"/>
        </w:rPr>
        <w:t xml:space="preserve"> </w:t>
      </w:r>
      <w:r w:rsidRPr="00675283">
        <w:rPr>
          <w:rFonts w:ascii="Times New Roman CYR" w:hAnsi="Times New Roman CYR" w:cs="Times New Roman CYR"/>
        </w:rPr>
        <w:t xml:space="preserve">Рособрнадзором  использованы значения показателей, содержащиеся в формах федерального статистического наблюдения </w:t>
      </w:r>
      <w:r w:rsidRPr="00675283">
        <w:rPr>
          <w:rFonts w:ascii="Times New Roman CYR" w:hAnsi="Times New Roman CYR" w:cs="Times New Roman CYR"/>
        </w:rPr>
        <w:br/>
        <w:t>№ 1-лицензирование за 201</w:t>
      </w:r>
      <w:r w:rsidR="003107C1">
        <w:rPr>
          <w:rFonts w:ascii="Times New Roman CYR" w:hAnsi="Times New Roman CYR" w:cs="Times New Roman CYR"/>
        </w:rPr>
        <w:t>7</w:t>
      </w:r>
      <w:r w:rsidRPr="00675283">
        <w:rPr>
          <w:rFonts w:ascii="Times New Roman CYR" w:hAnsi="Times New Roman CYR" w:cs="Times New Roman CYR"/>
        </w:rPr>
        <w:t xml:space="preserve"> и 201</w:t>
      </w:r>
      <w:r w:rsidR="003107C1">
        <w:rPr>
          <w:rFonts w:ascii="Times New Roman CYR" w:hAnsi="Times New Roman CYR" w:cs="Times New Roman CYR"/>
        </w:rPr>
        <w:t>6</w:t>
      </w:r>
      <w:r w:rsidRPr="00675283">
        <w:rPr>
          <w:rFonts w:ascii="Times New Roman CYR" w:hAnsi="Times New Roman CYR" w:cs="Times New Roman CYR"/>
        </w:rPr>
        <w:t xml:space="preserve"> годы, а также данные отчетов органов государственной власти субъектов Российской Федерации об осуществлении полномочий Российской Федерации в сфере образования, переданных для осуществления органам государственной власти субъектов Российской Федерации</w:t>
      </w:r>
      <w:r w:rsidR="00A11F38">
        <w:rPr>
          <w:rFonts w:ascii="Times New Roman CYR" w:hAnsi="Times New Roman CYR" w:cs="Times New Roman CYR"/>
        </w:rPr>
        <w:t>,</w:t>
      </w:r>
      <w:r w:rsidRPr="00675283">
        <w:rPr>
          <w:rFonts w:ascii="Times New Roman CYR" w:hAnsi="Times New Roman CYR" w:cs="Times New Roman CYR"/>
        </w:rPr>
        <w:t xml:space="preserve"> за 201</w:t>
      </w:r>
      <w:r w:rsidR="003107C1">
        <w:rPr>
          <w:rFonts w:ascii="Times New Roman CYR" w:hAnsi="Times New Roman CYR" w:cs="Times New Roman CYR"/>
        </w:rPr>
        <w:t>7</w:t>
      </w:r>
      <w:r w:rsidRPr="00675283">
        <w:rPr>
          <w:rFonts w:ascii="Times New Roman CYR" w:hAnsi="Times New Roman CYR" w:cs="Times New Roman CYR"/>
        </w:rPr>
        <w:t xml:space="preserve"> и</w:t>
      </w:r>
      <w:proofErr w:type="gramEnd"/>
      <w:r w:rsidRPr="00675283">
        <w:rPr>
          <w:rFonts w:ascii="Times New Roman CYR" w:hAnsi="Times New Roman CYR" w:cs="Times New Roman CYR"/>
        </w:rPr>
        <w:t xml:space="preserve"> 201</w:t>
      </w:r>
      <w:r w:rsidR="003107C1">
        <w:rPr>
          <w:rFonts w:ascii="Times New Roman CYR" w:hAnsi="Times New Roman CYR" w:cs="Times New Roman CYR"/>
        </w:rPr>
        <w:t>6</w:t>
      </w:r>
      <w:r w:rsidRPr="00675283">
        <w:rPr>
          <w:rFonts w:ascii="Times New Roman CYR" w:hAnsi="Times New Roman CYR" w:cs="Times New Roman CYR"/>
        </w:rPr>
        <w:t xml:space="preserve"> годы.</w:t>
      </w:r>
    </w:p>
    <w:p w:rsidR="00964B3F" w:rsidRDefault="00964B3F" w:rsidP="00200886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675283">
        <w:rPr>
          <w:rFonts w:ascii="Times New Roman CYR" w:hAnsi="Times New Roman CYR" w:cs="Times New Roman CYR"/>
        </w:rPr>
        <w:t>Анализ и оценка эффективности лицензирования образовательной деятельности за 201</w:t>
      </w:r>
      <w:r w:rsidR="003107C1">
        <w:rPr>
          <w:rFonts w:ascii="Times New Roman CYR" w:hAnsi="Times New Roman CYR" w:cs="Times New Roman CYR"/>
        </w:rPr>
        <w:t>6</w:t>
      </w:r>
      <w:r w:rsidRPr="00675283">
        <w:rPr>
          <w:rFonts w:ascii="Times New Roman CYR" w:hAnsi="Times New Roman CYR" w:cs="Times New Roman CYR"/>
        </w:rPr>
        <w:t>-201</w:t>
      </w:r>
      <w:r w:rsidR="003107C1">
        <w:rPr>
          <w:rFonts w:ascii="Times New Roman CYR" w:hAnsi="Times New Roman CYR" w:cs="Times New Roman CYR"/>
        </w:rPr>
        <w:t>7</w:t>
      </w:r>
      <w:r w:rsidR="00CE04E1">
        <w:rPr>
          <w:rFonts w:ascii="Times New Roman CYR" w:hAnsi="Times New Roman CYR" w:cs="Times New Roman CYR"/>
        </w:rPr>
        <w:t xml:space="preserve"> годы представлены в таблицах 4 и </w:t>
      </w:r>
      <w:r w:rsidRPr="00675283">
        <w:rPr>
          <w:rFonts w:ascii="Times New Roman CYR" w:hAnsi="Times New Roman CYR" w:cs="Times New Roman CYR"/>
        </w:rPr>
        <w:t xml:space="preserve">5. </w:t>
      </w:r>
    </w:p>
    <w:p w:rsidR="002912F7" w:rsidRPr="00675283" w:rsidRDefault="002912F7" w:rsidP="00200886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964B3F" w:rsidRPr="00FD19FF" w:rsidRDefault="00964B3F" w:rsidP="00FD19FF">
      <w:pPr>
        <w:jc w:val="right"/>
        <w:rPr>
          <w:sz w:val="24"/>
          <w:szCs w:val="24"/>
        </w:rPr>
      </w:pPr>
      <w:r w:rsidRPr="00FD19FF">
        <w:rPr>
          <w:sz w:val="24"/>
          <w:szCs w:val="24"/>
        </w:rPr>
        <w:t>Таблица 4</w:t>
      </w:r>
    </w:p>
    <w:p w:rsidR="00964B3F" w:rsidRPr="00B5104F" w:rsidRDefault="00964B3F" w:rsidP="00964B3F">
      <w:pPr>
        <w:tabs>
          <w:tab w:val="left" w:pos="9071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04F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и оценка эффективности лицензирования образовательной </w:t>
      </w:r>
    </w:p>
    <w:p w:rsidR="00964B3F" w:rsidRPr="00B5104F" w:rsidRDefault="00964B3F" w:rsidP="00964B3F">
      <w:pPr>
        <w:tabs>
          <w:tab w:val="left" w:pos="9071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04F">
        <w:rPr>
          <w:rFonts w:ascii="Times New Roman CYR" w:hAnsi="Times New Roman CYR" w:cs="Times New Roman CYR"/>
          <w:b/>
          <w:bCs/>
          <w:sz w:val="24"/>
          <w:szCs w:val="24"/>
        </w:rPr>
        <w:t>деятельности за 201</w:t>
      </w:r>
      <w:r w:rsidR="00CF648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B5104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(в сравнении с показателями за 201</w:t>
      </w:r>
      <w:r w:rsidR="00CF6480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B5104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5165"/>
        <w:gridCol w:w="1041"/>
        <w:gridCol w:w="991"/>
        <w:gridCol w:w="1986"/>
      </w:tblGrid>
      <w:tr w:rsidR="00E33D41" w:rsidRPr="00E33D41" w:rsidTr="0045218F">
        <w:trPr>
          <w:trHeight w:val="300"/>
          <w:tblHeader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CF64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201</w:t>
            </w:r>
            <w:r w:rsidR="00CF6480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E33D4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CF648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Отклонение значения показателей 201</w:t>
            </w:r>
            <w:r w:rsidR="00CF6480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E33D41">
              <w:rPr>
                <w:color w:val="000000"/>
                <w:sz w:val="24"/>
                <w:szCs w:val="24"/>
                <w:lang w:eastAsia="ru-RU"/>
              </w:rPr>
              <w:t xml:space="preserve"> года от 201</w:t>
            </w:r>
            <w:r w:rsidR="00CF6480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E33D41">
              <w:rPr>
                <w:color w:val="000000"/>
                <w:sz w:val="24"/>
                <w:szCs w:val="24"/>
                <w:lang w:eastAsia="ru-RU"/>
              </w:rPr>
              <w:t xml:space="preserve"> года (более 10 процентов)</w:t>
            </w:r>
          </w:p>
        </w:tc>
      </w:tr>
      <w:tr w:rsidR="00E33D41" w:rsidRPr="00E33D41" w:rsidTr="0045218F">
        <w:trPr>
          <w:trHeight w:val="300"/>
          <w:tblHeader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3D41" w:rsidRPr="00E33D41" w:rsidTr="0045218F">
        <w:trPr>
          <w:trHeight w:val="1530"/>
          <w:tblHeader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3D41" w:rsidRPr="00E33D41" w:rsidTr="0045218F">
        <w:trPr>
          <w:trHeight w:val="315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3D41" w:rsidRPr="00E33D41" w:rsidTr="0045218F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</w:t>
            </w:r>
            <w:r w:rsidRPr="00E33D41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12,3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45218F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45218F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45218F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45218F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45218F">
        <w:trPr>
          <w:trHeight w:val="155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45218F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3D4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480" w:rsidRPr="00E33D41" w:rsidTr="001C2A48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30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141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32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Федерации);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3D4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480" w:rsidRPr="00E33D41" w:rsidTr="00392740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Средний срок рассмотрения заявления о предоставлении лицензии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037F93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3D4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D41" w:rsidRPr="00E33D41" w:rsidTr="00392740">
        <w:trPr>
          <w:trHeight w:val="154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037F93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3D4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D41" w:rsidRPr="00E33D41" w:rsidTr="001C2A48">
        <w:trPr>
          <w:trHeight w:val="155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lastRenderedPageBreak/>
              <w:t>е.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037F93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520B">
              <w:rPr>
                <w:color w:val="000000"/>
                <w:sz w:val="24"/>
                <w:szCs w:val="24"/>
                <w:lang w:eastAsia="ru-RU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037F93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3D4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D41" w:rsidRPr="00E33D41" w:rsidTr="001C2A48">
        <w:trPr>
          <w:trHeight w:val="19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037F93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3D4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D41" w:rsidRPr="00E33D41" w:rsidTr="001C2A48">
        <w:trPr>
          <w:trHeight w:val="19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EB2DB9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33D4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480" w:rsidRPr="00E33D41" w:rsidTr="001C2A48">
        <w:trPr>
          <w:trHeight w:val="21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CF6480" w:rsidRPr="00DF3529" w:rsidRDefault="00E75426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F6480" w:rsidRPr="00DF3529" w:rsidRDefault="00CF6480" w:rsidP="00DF35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CF6480" w:rsidRPr="00DF3529" w:rsidRDefault="00E75426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7B2D7E" w:rsidRDefault="00CF6480" w:rsidP="007B2D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6480" w:rsidRPr="00E33D41" w:rsidTr="00392740">
        <w:trPr>
          <w:trHeight w:val="1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65,52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081B6C" w:rsidRDefault="007B2D7E" w:rsidP="003927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-17,52</w:t>
            </w:r>
          </w:p>
        </w:tc>
      </w:tr>
      <w:tr w:rsidR="00E33D41" w:rsidRPr="00E33D41" w:rsidTr="00392740">
        <w:trPr>
          <w:trHeight w:val="12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392740">
        <w:trPr>
          <w:trHeight w:val="23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392740">
        <w:trPr>
          <w:trHeight w:val="11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7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7B2D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1,1</w:t>
            </w:r>
            <w:r w:rsidR="007B2D7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8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207227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207227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80" w:rsidRPr="00207227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9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207227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207227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207227" w:rsidRDefault="00CF6480" w:rsidP="00EA74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7B2D7E" w:rsidRPr="00207227">
              <w:rPr>
                <w:color w:val="000000"/>
                <w:sz w:val="24"/>
                <w:szCs w:val="24"/>
                <w:lang w:eastAsia="ru-RU"/>
              </w:rPr>
              <w:t>16,17</w:t>
            </w:r>
            <w:r w:rsidR="00EA74D2" w:rsidRPr="0020722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D41" w:rsidRPr="00E33D41" w:rsidTr="00392740">
        <w:trPr>
          <w:trHeight w:val="28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207227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207227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4D2" w:rsidRPr="00207227" w:rsidRDefault="00EA74D2" w:rsidP="00EA74D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33D41" w:rsidRPr="00E33D41" w:rsidTr="00392740">
        <w:trPr>
          <w:trHeight w:val="14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392740">
        <w:trPr>
          <w:trHeight w:val="168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lastRenderedPageBreak/>
              <w:t>у.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392740">
        <w:trPr>
          <w:trHeight w:val="13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392740">
        <w:trPr>
          <w:trHeight w:val="63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Средний размер наложенного административного штрафа (в тыс. рублей),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36,55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34,59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392740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в том числе 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1" w:rsidRPr="00DF3529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392740">
        <w:trPr>
          <w:trHeight w:val="88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392740">
        <w:trPr>
          <w:trHeight w:val="82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081B6C" w:rsidRDefault="00CF6480" w:rsidP="003927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6480" w:rsidRPr="00E33D41" w:rsidTr="001C2A48">
        <w:trPr>
          <w:trHeight w:val="8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14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D41"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4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480" w:rsidRPr="00E33D41" w:rsidTr="001C2A48">
        <w:trPr>
          <w:trHeight w:val="112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DF3529" w:rsidRDefault="00CF6480" w:rsidP="002E71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80" w:rsidRPr="00E33D41" w:rsidRDefault="00CF6480" w:rsidP="003927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3D41" w:rsidRPr="00E33D41" w:rsidTr="00392740">
        <w:trPr>
          <w:trHeight w:val="197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lastRenderedPageBreak/>
              <w:t>щ.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E33D4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33D41">
              <w:rPr>
                <w:color w:val="000000"/>
                <w:sz w:val="24"/>
                <w:szCs w:val="24"/>
                <w:lang w:eastAsia="ru-RU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7B2D7E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DF3529" w:rsidRDefault="00CF6480" w:rsidP="00E33D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3529">
              <w:rPr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41" w:rsidRPr="00E33D41" w:rsidRDefault="00E33D41" w:rsidP="0039274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33D41" w:rsidRDefault="00E33D41" w:rsidP="008D4021">
      <w:pPr>
        <w:suppressAutoHyphens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EE4DB7" w:rsidRDefault="00EE4DB7" w:rsidP="008D4021">
      <w:pPr>
        <w:suppressAutoHyphens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D23E86" w:rsidRPr="00FD19FF" w:rsidRDefault="00D23E86" w:rsidP="00D23E86">
      <w:pPr>
        <w:spacing w:after="0"/>
        <w:jc w:val="right"/>
        <w:rPr>
          <w:sz w:val="24"/>
          <w:szCs w:val="24"/>
        </w:rPr>
      </w:pPr>
      <w:r w:rsidRPr="00FD19FF">
        <w:rPr>
          <w:sz w:val="24"/>
          <w:szCs w:val="24"/>
        </w:rPr>
        <w:t>Таблица 5</w:t>
      </w:r>
    </w:p>
    <w:p w:rsidR="00EE4DB7" w:rsidRDefault="00EE4DB7" w:rsidP="00D23E86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D23E86" w:rsidRPr="00395F29" w:rsidRDefault="00D23E86" w:rsidP="00D23E86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95F29">
        <w:rPr>
          <w:rFonts w:ascii="Times New Roman CYR" w:hAnsi="Times New Roman CYR" w:cs="Times New Roman CYR"/>
          <w:b/>
          <w:bCs/>
        </w:rPr>
        <w:t xml:space="preserve">Причины отклонения значений показателей </w:t>
      </w:r>
    </w:p>
    <w:p w:rsidR="00D23E86" w:rsidRDefault="00D23E86" w:rsidP="00D23E86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95F29">
        <w:rPr>
          <w:rFonts w:ascii="Times New Roman CYR" w:hAnsi="Times New Roman CYR" w:cs="Times New Roman CYR"/>
          <w:b/>
          <w:bCs/>
        </w:rPr>
        <w:t>201</w:t>
      </w:r>
      <w:r w:rsidR="003F68CF">
        <w:rPr>
          <w:rFonts w:ascii="Times New Roman CYR" w:hAnsi="Times New Roman CYR" w:cs="Times New Roman CYR"/>
          <w:b/>
          <w:bCs/>
        </w:rPr>
        <w:t>7</w:t>
      </w:r>
      <w:r w:rsidRPr="00395F29">
        <w:rPr>
          <w:rFonts w:ascii="Times New Roman CYR" w:hAnsi="Times New Roman CYR" w:cs="Times New Roman CYR"/>
          <w:b/>
          <w:bCs/>
        </w:rPr>
        <w:t xml:space="preserve"> года от 201</w:t>
      </w:r>
      <w:r w:rsidR="003F68CF">
        <w:rPr>
          <w:rFonts w:ascii="Times New Roman CYR" w:hAnsi="Times New Roman CYR" w:cs="Times New Roman CYR"/>
          <w:b/>
          <w:bCs/>
        </w:rPr>
        <w:t>6</w:t>
      </w:r>
      <w:r w:rsidRPr="00395F29">
        <w:rPr>
          <w:rFonts w:ascii="Times New Roman CYR" w:hAnsi="Times New Roman CYR" w:cs="Times New Roman CYR"/>
          <w:b/>
          <w:bCs/>
        </w:rPr>
        <w:t xml:space="preserve"> года (более 10 процентов)</w:t>
      </w:r>
    </w:p>
    <w:tbl>
      <w:tblPr>
        <w:tblW w:w="9781" w:type="dxa"/>
        <w:tblInd w:w="105" w:type="dxa"/>
        <w:tblBorders>
          <w:top w:val="single" w:sz="2" w:space="0" w:color="000001"/>
          <w:left w:val="single" w:sz="2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D23E86" w:rsidRPr="00395F29" w:rsidTr="003F68CF">
        <w:trPr>
          <w:trHeight w:val="1"/>
          <w:tblHeader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</w:tcMar>
            <w:vAlign w:val="center"/>
          </w:tcPr>
          <w:p w:rsidR="00D23E86" w:rsidRPr="00395F29" w:rsidRDefault="00D23E86" w:rsidP="002E7149">
            <w:pPr>
              <w:suppressAutoHyphens/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 w:rsidRPr="00395F2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5F2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95F2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D23E86" w:rsidRPr="00395F29" w:rsidRDefault="00D23E86" w:rsidP="002E7149">
            <w:pPr>
              <w:suppressAutoHyphens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395F2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D23E86" w:rsidRPr="00395F29" w:rsidRDefault="00D23E86" w:rsidP="002E7149">
            <w:pPr>
              <w:suppressAutoHyphens/>
              <w:spacing w:after="12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95F29">
              <w:rPr>
                <w:b/>
                <w:bCs/>
                <w:sz w:val="24"/>
                <w:szCs w:val="24"/>
              </w:rPr>
              <w:t>Причины отклонений значения показателей</w:t>
            </w:r>
          </w:p>
        </w:tc>
      </w:tr>
      <w:tr w:rsidR="00D23E86" w:rsidRPr="00207227" w:rsidTr="003F68CF">
        <w:trPr>
          <w:trHeight w:val="2282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23E86" w:rsidRPr="00207227" w:rsidRDefault="00E75426" w:rsidP="003F68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F68CF" w:rsidRPr="0020722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:rsidR="00D23E86" w:rsidRPr="00207227" w:rsidRDefault="00D23E86" w:rsidP="002E7149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207227">
              <w:rPr>
                <w:sz w:val="24"/>
                <w:szCs w:val="24"/>
              </w:rPr>
              <w:t>к) 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3A520B" w:rsidRPr="00207227" w:rsidRDefault="00D23E86" w:rsidP="003A520B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207227">
              <w:rPr>
                <w:sz w:val="24"/>
                <w:szCs w:val="24"/>
              </w:rPr>
              <w:t>У</w:t>
            </w:r>
            <w:r w:rsidR="0088137B" w:rsidRPr="00207227">
              <w:rPr>
                <w:sz w:val="24"/>
                <w:szCs w:val="24"/>
              </w:rPr>
              <w:t>меньшение</w:t>
            </w:r>
            <w:r w:rsidRPr="00207227">
              <w:rPr>
                <w:sz w:val="24"/>
                <w:szCs w:val="24"/>
              </w:rPr>
              <w:t xml:space="preserve"> доли решений суда </w:t>
            </w:r>
            <w:proofErr w:type="gramStart"/>
            <w:r w:rsidRPr="00207227">
              <w:rPr>
                <w:sz w:val="24"/>
                <w:szCs w:val="24"/>
              </w:rPr>
              <w:t>об удовлетворении заявлений лицензирующего органа об аннулировании лицензии связано с</w:t>
            </w:r>
            <w:r w:rsidR="003A520B" w:rsidRPr="00207227">
              <w:rPr>
                <w:sz w:val="24"/>
                <w:szCs w:val="24"/>
              </w:rPr>
              <w:t>о снижением количества</w:t>
            </w:r>
            <w:r w:rsidRPr="00207227">
              <w:rPr>
                <w:sz w:val="24"/>
                <w:szCs w:val="24"/>
              </w:rPr>
              <w:t xml:space="preserve"> </w:t>
            </w:r>
            <w:r w:rsidR="003A520B" w:rsidRPr="00207227">
              <w:rPr>
                <w:sz w:val="24"/>
                <w:szCs w:val="24"/>
              </w:rPr>
              <w:t xml:space="preserve">подаваемых в суд заявлений </w:t>
            </w:r>
            <w:r w:rsidR="00A2383D" w:rsidRPr="00207227">
              <w:rPr>
                <w:sz w:val="24"/>
                <w:szCs w:val="24"/>
              </w:rPr>
              <w:t xml:space="preserve"> об аннулировании</w:t>
            </w:r>
            <w:proofErr w:type="gramEnd"/>
            <w:r w:rsidR="00A2383D" w:rsidRPr="00207227">
              <w:rPr>
                <w:sz w:val="24"/>
                <w:szCs w:val="24"/>
              </w:rPr>
              <w:t xml:space="preserve"> лицензии</w:t>
            </w:r>
            <w:r w:rsidR="003F68CF" w:rsidRPr="00207227">
              <w:rPr>
                <w:sz w:val="24"/>
                <w:szCs w:val="24"/>
              </w:rPr>
              <w:t>.</w:t>
            </w:r>
            <w:r w:rsidR="00A2383D" w:rsidRPr="00207227">
              <w:rPr>
                <w:b/>
                <w:sz w:val="24"/>
                <w:szCs w:val="24"/>
              </w:rPr>
              <w:t xml:space="preserve"> </w:t>
            </w:r>
          </w:p>
          <w:p w:rsidR="00A2383D" w:rsidRPr="00207227" w:rsidRDefault="00A2383D" w:rsidP="00431B43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3E86" w:rsidRPr="00207227" w:rsidTr="003F68CF">
        <w:trPr>
          <w:trHeight w:val="1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23E86" w:rsidRPr="00207227" w:rsidRDefault="00E75426" w:rsidP="003F68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7227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F68CF" w:rsidRPr="0020722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3" w:type="dxa"/>
            </w:tcMar>
          </w:tcPr>
          <w:p w:rsidR="00D23E86" w:rsidRPr="00207227" w:rsidRDefault="00D23E86" w:rsidP="002E7149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07227">
              <w:rPr>
                <w:rFonts w:eastAsia="Calibri"/>
                <w:sz w:val="24"/>
                <w:szCs w:val="24"/>
              </w:rPr>
              <w:t>р) Количество грубых нарушений лицензионных требований, выявленных по результатам проверок лицензиатов</w:t>
            </w:r>
            <w:r w:rsidR="00EA74D2" w:rsidRPr="0020722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970F80" w:rsidRPr="00207227" w:rsidRDefault="00D23E86" w:rsidP="003F68CF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07227">
              <w:rPr>
                <w:sz w:val="24"/>
                <w:szCs w:val="24"/>
              </w:rPr>
              <w:t xml:space="preserve">Уменьшение </w:t>
            </w:r>
            <w:r w:rsidR="005750AB" w:rsidRPr="00207227">
              <w:rPr>
                <w:sz w:val="24"/>
                <w:szCs w:val="24"/>
              </w:rPr>
              <w:t xml:space="preserve">общего </w:t>
            </w:r>
            <w:r w:rsidRPr="00207227">
              <w:rPr>
                <w:sz w:val="24"/>
                <w:szCs w:val="24"/>
              </w:rPr>
              <w:t>количества грубых нарушений лицензионных требований, выявленных по результатам проверок лицензиатов, свидетельствует об эффективной профилактической работе, осуществляемой лицензиру</w:t>
            </w:r>
            <w:r w:rsidR="00460A20" w:rsidRPr="00207227">
              <w:rPr>
                <w:sz w:val="24"/>
                <w:szCs w:val="24"/>
              </w:rPr>
              <w:t>ющими органами</w:t>
            </w:r>
            <w:r w:rsidR="005750AB" w:rsidRPr="00207227">
              <w:rPr>
                <w:sz w:val="24"/>
                <w:szCs w:val="24"/>
              </w:rPr>
              <w:t xml:space="preserve"> большинства субъектов Российской Федерации</w:t>
            </w:r>
            <w:r w:rsidR="00460A20" w:rsidRPr="00207227">
              <w:rPr>
                <w:sz w:val="24"/>
                <w:szCs w:val="24"/>
              </w:rPr>
              <w:t xml:space="preserve">, </w:t>
            </w:r>
            <w:r w:rsidR="003F68CF" w:rsidRPr="00207227">
              <w:rPr>
                <w:sz w:val="24"/>
                <w:szCs w:val="24"/>
              </w:rPr>
              <w:t>направленной на предотвращение возможных нарушений лицензионных требований.</w:t>
            </w:r>
          </w:p>
        </w:tc>
      </w:tr>
    </w:tbl>
    <w:p w:rsidR="00D23E86" w:rsidRPr="00207227" w:rsidRDefault="00D23E86" w:rsidP="00D23E86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Cs/>
        </w:rPr>
      </w:pPr>
    </w:p>
    <w:p w:rsidR="0060712D" w:rsidRPr="00207227" w:rsidRDefault="0060712D" w:rsidP="004C67D1">
      <w:pPr>
        <w:spacing w:before="200" w:line="240" w:lineRule="auto"/>
        <w:ind w:firstLine="709"/>
        <w:jc w:val="both"/>
        <w:outlineLvl w:val="1"/>
        <w:rPr>
          <w:b/>
        </w:rPr>
      </w:pPr>
      <w:bookmarkStart w:id="32" w:name="_Toc475535823"/>
      <w:r w:rsidRPr="00207227">
        <w:rPr>
          <w:b/>
        </w:rPr>
        <w:t xml:space="preserve">б) анализ и оценка наиболее распространенных причин отказа в предоставлении лицензии, переоформлении лицензии, продлении срока </w:t>
      </w:r>
      <w:r w:rsidRPr="00207227">
        <w:rPr>
          <w:b/>
        </w:rPr>
        <w:lastRenderedPageBreak/>
        <w:t>действия лицензии в случаях, предусмотренных законодательством Российской Федерации</w:t>
      </w:r>
      <w:bookmarkEnd w:id="30"/>
      <w:bookmarkEnd w:id="31"/>
      <w:bookmarkEnd w:id="32"/>
    </w:p>
    <w:p w:rsidR="0060712D" w:rsidRPr="00207227" w:rsidRDefault="0060712D" w:rsidP="004A0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227">
        <w:rPr>
          <w:rFonts w:ascii="Times New Roman" w:hAnsi="Times New Roman" w:cs="Times New Roman"/>
          <w:sz w:val="28"/>
          <w:szCs w:val="28"/>
        </w:rPr>
        <w:t>В 201</w:t>
      </w:r>
      <w:r w:rsidR="00CE3137" w:rsidRPr="00207227">
        <w:rPr>
          <w:rFonts w:ascii="Times New Roman" w:hAnsi="Times New Roman" w:cs="Times New Roman"/>
          <w:sz w:val="28"/>
          <w:szCs w:val="28"/>
        </w:rPr>
        <w:t>7</w:t>
      </w:r>
      <w:r w:rsidRPr="0020722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E3137" w:rsidRPr="00207227">
        <w:rPr>
          <w:rFonts w:ascii="Times New Roman" w:hAnsi="Times New Roman" w:cs="Times New Roman"/>
          <w:sz w:val="28"/>
          <w:szCs w:val="28"/>
        </w:rPr>
        <w:t>основной причиной отказа</w:t>
      </w:r>
      <w:r w:rsidRPr="00207227">
        <w:rPr>
          <w:rFonts w:ascii="Times New Roman" w:hAnsi="Times New Roman" w:cs="Times New Roman"/>
          <w:sz w:val="28"/>
          <w:szCs w:val="28"/>
        </w:rPr>
        <w:t xml:space="preserve"> в предоставлении и переоформлении лицензии</w:t>
      </w:r>
      <w:r w:rsidRPr="0020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E4ED2" w:rsidRPr="00207227">
        <w:rPr>
          <w:rFonts w:ascii="Times New Roman" w:hAnsi="Times New Roman" w:cs="Times New Roman"/>
          <w:sz w:val="28"/>
          <w:szCs w:val="28"/>
        </w:rPr>
        <w:t xml:space="preserve">№ 99-ФЗ </w:t>
      </w:r>
      <w:r w:rsidRPr="00207227">
        <w:rPr>
          <w:rFonts w:ascii="Times New Roman" w:hAnsi="Times New Roman" w:cs="Times New Roman"/>
          <w:sz w:val="28"/>
          <w:szCs w:val="28"/>
        </w:rPr>
        <w:t xml:space="preserve">являлись: </w:t>
      </w:r>
    </w:p>
    <w:p w:rsidR="0060712D" w:rsidRPr="00207227" w:rsidRDefault="00BB398F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07227">
        <w:rPr>
          <w:lang w:eastAsia="ru-RU"/>
        </w:rPr>
        <w:t>1.</w:t>
      </w:r>
      <w:r w:rsidR="008D4021" w:rsidRPr="00207227">
        <w:rPr>
          <w:lang w:eastAsia="ru-RU"/>
        </w:rPr>
        <w:t> </w:t>
      </w:r>
      <w:r w:rsidR="002E4ED2" w:rsidRPr="00207227">
        <w:rPr>
          <w:u w:val="single"/>
          <w:lang w:eastAsia="ru-RU"/>
        </w:rPr>
        <w:t>Н</w:t>
      </w:r>
      <w:r w:rsidR="0060712D" w:rsidRPr="00207227">
        <w:rPr>
          <w:u w:val="single"/>
          <w:lang w:eastAsia="ru-RU"/>
        </w:rPr>
        <w:t>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 w:rsidR="0060712D" w:rsidRPr="00207227">
        <w:rPr>
          <w:lang w:eastAsia="ru-RU"/>
        </w:rPr>
        <w:t xml:space="preserve">: </w:t>
      </w:r>
    </w:p>
    <w:p w:rsidR="00D77577" w:rsidRDefault="00B95904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207227">
        <w:rPr>
          <w:rFonts w:ascii="Times New Roman CYR" w:hAnsi="Times New Roman CYR" w:cs="Times New Roman CYR"/>
        </w:rPr>
        <w:t xml:space="preserve">о </w:t>
      </w:r>
      <w:r w:rsidR="0060712D" w:rsidRPr="00207227">
        <w:rPr>
          <w:rFonts w:ascii="Times New Roman CYR" w:hAnsi="Times New Roman CYR" w:cs="Times New Roman CYR"/>
        </w:rPr>
        <w:t>наличи</w:t>
      </w:r>
      <w:r w:rsidRPr="00207227">
        <w:rPr>
          <w:rFonts w:ascii="Times New Roman CYR" w:hAnsi="Times New Roman CYR" w:cs="Times New Roman CYR"/>
        </w:rPr>
        <w:t>и</w:t>
      </w:r>
      <w:r w:rsidR="0060712D" w:rsidRPr="00207227">
        <w:rPr>
          <w:rFonts w:ascii="Times New Roman CYR" w:hAnsi="Times New Roman CYR" w:cs="Times New Roman CYR"/>
        </w:rPr>
        <w:t xml:space="preserve">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</w:t>
      </w:r>
      <w:r w:rsidR="0060712D" w:rsidRPr="00D77577">
        <w:rPr>
          <w:rFonts w:ascii="Times New Roman CYR" w:hAnsi="Times New Roman CYR" w:cs="Times New Roman CYR"/>
        </w:rPr>
        <w:t>ческой культуры и спорта), необходимых для осуществления образовательной деятельности по заявленным к лицензированию образовательным программам</w:t>
      </w:r>
      <w:r w:rsidR="00D77577" w:rsidRPr="00D77577">
        <w:rPr>
          <w:rFonts w:ascii="Times New Roman CYR" w:hAnsi="Times New Roman CYR" w:cs="Times New Roman CYR"/>
        </w:rPr>
        <w:t>;</w:t>
      </w:r>
      <w:r w:rsidR="0060712D" w:rsidRPr="00D77577">
        <w:rPr>
          <w:rFonts w:ascii="Times New Roman CYR" w:hAnsi="Times New Roman CYR" w:cs="Times New Roman CYR"/>
        </w:rPr>
        <w:t xml:space="preserve"> </w:t>
      </w:r>
    </w:p>
    <w:p w:rsidR="00D77577" w:rsidRPr="00D77577" w:rsidRDefault="00B95904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77577">
        <w:rPr>
          <w:rFonts w:ascii="Times New Roman CYR" w:hAnsi="Times New Roman CYR" w:cs="Times New Roman CYR"/>
        </w:rPr>
        <w:t xml:space="preserve">о </w:t>
      </w:r>
      <w:r w:rsidR="0060712D" w:rsidRPr="00D77577">
        <w:rPr>
          <w:rFonts w:ascii="Times New Roman CYR" w:hAnsi="Times New Roman CYR" w:cs="Times New Roman CYR"/>
        </w:rPr>
        <w:t>наличи</w:t>
      </w:r>
      <w:r w:rsidRPr="00D77577">
        <w:rPr>
          <w:rFonts w:ascii="Times New Roman CYR" w:hAnsi="Times New Roman CYR" w:cs="Times New Roman CYR"/>
        </w:rPr>
        <w:t>и</w:t>
      </w:r>
      <w:r w:rsidR="0060712D" w:rsidRPr="00D77577">
        <w:rPr>
          <w:rFonts w:ascii="Times New Roman CYR" w:hAnsi="Times New Roman CYR" w:cs="Times New Roman CYR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</w:t>
      </w:r>
      <w:hyperlink r:id="rId18" w:history="1">
        <w:r w:rsidR="0060712D" w:rsidRPr="00D77577">
          <w:rPr>
            <w:rFonts w:ascii="Times New Roman CYR" w:hAnsi="Times New Roman CYR" w:cs="Times New Roman CYR"/>
          </w:rPr>
          <w:t>пунктом 2 статьи 40</w:t>
        </w:r>
      </w:hyperlink>
      <w:r w:rsidR="0060712D" w:rsidRPr="00D77577">
        <w:rPr>
          <w:rFonts w:ascii="Times New Roman CYR" w:hAnsi="Times New Roman CYR" w:cs="Times New Roman CYR"/>
        </w:rPr>
        <w:t xml:space="preserve"> Федерального закона от 30 марта 1999 г. № 52-ФЗ «О санитарно-эпидемиологическом благополучии населения»</w:t>
      </w:r>
      <w:r w:rsidR="00D77577" w:rsidRPr="00D77577">
        <w:rPr>
          <w:rFonts w:ascii="Times New Roman CYR" w:hAnsi="Times New Roman CYR" w:cs="Times New Roman CYR"/>
        </w:rPr>
        <w:t>;</w:t>
      </w:r>
    </w:p>
    <w:p w:rsidR="0060712D" w:rsidRDefault="00B95904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D77577">
        <w:rPr>
          <w:rFonts w:ascii="Times New Roman CYR" w:hAnsi="Times New Roman CYR" w:cs="Times New Roman CYR"/>
        </w:rPr>
        <w:t xml:space="preserve">о наличии </w:t>
      </w:r>
      <w:r w:rsidR="006B6404" w:rsidRPr="00D77577">
        <w:rPr>
          <w:rFonts w:ascii="Times New Roman CYR" w:hAnsi="Times New Roman CYR" w:cs="Times New Roman CYR"/>
        </w:rPr>
        <w:t>у</w:t>
      </w:r>
      <w:r w:rsidRPr="00D77577">
        <w:rPr>
          <w:rFonts w:ascii="Times New Roman CYR" w:hAnsi="Times New Roman CYR" w:cs="Times New Roman CYR"/>
        </w:rPr>
        <w:t xml:space="preserve"> </w:t>
      </w:r>
      <w:r w:rsidR="0060712D" w:rsidRPr="00D77577">
        <w:rPr>
          <w:rFonts w:ascii="Times New Roman CYR" w:hAnsi="Times New Roman CYR" w:cs="Times New Roman CYR"/>
        </w:rPr>
        <w:t xml:space="preserve">образовательной организации </w:t>
      </w:r>
      <w:r w:rsidR="006B6404" w:rsidRPr="00D77577">
        <w:t xml:space="preserve">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</w:t>
      </w:r>
      <w:hyperlink r:id="rId19" w:history="1">
        <w:r w:rsidR="006B6404" w:rsidRPr="007C779B">
          <w:rPr>
            <w:rStyle w:val="ac"/>
            <w:color w:val="auto"/>
            <w:u w:val="none"/>
          </w:rPr>
          <w:t>частью 6 статьи 28</w:t>
        </w:r>
      </w:hyperlink>
      <w:r w:rsidR="006B6404" w:rsidRPr="007C779B">
        <w:t xml:space="preserve"> </w:t>
      </w:r>
      <w:r w:rsidR="00F734DE" w:rsidRPr="007C779B">
        <w:rPr>
          <w:rFonts w:ascii="Times New Roman CYR" w:hAnsi="Times New Roman CYR" w:cs="Times New Roman CYR"/>
          <w:bCs/>
        </w:rPr>
        <w:t>Федерального закона № 273-ФЗ</w:t>
      </w:r>
      <w:r w:rsidR="007F18E9">
        <w:rPr>
          <w:lang w:eastAsia="ru-RU"/>
        </w:rPr>
        <w:t>.</w:t>
      </w:r>
      <w:proofErr w:type="gramEnd"/>
    </w:p>
    <w:p w:rsidR="0060712D" w:rsidRPr="00D77577" w:rsidRDefault="002E4ED2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D77577">
        <w:rPr>
          <w:lang w:eastAsia="ru-RU"/>
        </w:rPr>
        <w:t>2. </w:t>
      </w:r>
      <w:r w:rsidRPr="00D77577">
        <w:rPr>
          <w:u w:val="single"/>
          <w:lang w:eastAsia="ru-RU"/>
        </w:rPr>
        <w:t>У</w:t>
      </w:r>
      <w:r w:rsidR="0060712D" w:rsidRPr="00D77577">
        <w:rPr>
          <w:u w:val="single"/>
          <w:lang w:eastAsia="ru-RU"/>
        </w:rPr>
        <w:t>становленное в ходе проверки несоответствие соискателя лицензии лицензионным требованиям</w:t>
      </w:r>
      <w:r w:rsidR="0060712D" w:rsidRPr="00D77577">
        <w:rPr>
          <w:lang w:eastAsia="ru-RU"/>
        </w:rPr>
        <w:t>:</w:t>
      </w:r>
    </w:p>
    <w:p w:rsidR="006B6404" w:rsidRPr="00D77577" w:rsidRDefault="00BB398F" w:rsidP="002008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77577">
        <w:t xml:space="preserve">отсутствие </w:t>
      </w:r>
      <w:r w:rsidR="006B6404" w:rsidRPr="00D77577">
        <w:rPr>
          <w:lang w:eastAsia="ru-RU"/>
        </w:rPr>
        <w:t>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</w:t>
      </w:r>
      <w:r w:rsidR="006B6404" w:rsidRPr="00D77577">
        <w:t>;</w:t>
      </w:r>
    </w:p>
    <w:p w:rsidR="0060712D" w:rsidRPr="00D77577" w:rsidRDefault="00BB398F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77577">
        <w:rPr>
          <w:rFonts w:ascii="Times New Roman CYR" w:hAnsi="Times New Roman CYR" w:cs="Times New Roman CYR"/>
        </w:rPr>
        <w:t>отсутствие (</w:t>
      </w:r>
      <w:r w:rsidR="004F4724" w:rsidRPr="00D77577">
        <w:rPr>
          <w:rFonts w:ascii="Times New Roman CYR" w:hAnsi="Times New Roman CYR" w:cs="Times New Roman CYR"/>
        </w:rPr>
        <w:t>несоответствие</w:t>
      </w:r>
      <w:r w:rsidRPr="00D77577">
        <w:rPr>
          <w:rFonts w:ascii="Times New Roman CYR" w:hAnsi="Times New Roman CYR" w:cs="Times New Roman CYR"/>
        </w:rPr>
        <w:t>)</w:t>
      </w:r>
      <w:r w:rsidR="004F4724" w:rsidRPr="00D77577">
        <w:rPr>
          <w:rFonts w:ascii="Times New Roman CYR" w:hAnsi="Times New Roman CYR" w:cs="Times New Roman CYR"/>
        </w:rPr>
        <w:t xml:space="preserve"> </w:t>
      </w:r>
      <w:r w:rsidR="0060712D" w:rsidRPr="00D77577">
        <w:rPr>
          <w:rFonts w:ascii="Times New Roman CYR" w:hAnsi="Times New Roman CYR" w:cs="Times New Roman CYR"/>
        </w:rPr>
        <w:t>материально-технического обеспечения образовательной деятельности, оборудовани</w:t>
      </w:r>
      <w:r w:rsidR="004F4724" w:rsidRPr="00D77577">
        <w:rPr>
          <w:rFonts w:ascii="Times New Roman CYR" w:hAnsi="Times New Roman CYR" w:cs="Times New Roman CYR"/>
        </w:rPr>
        <w:t xml:space="preserve">я помещений </w:t>
      </w:r>
      <w:r w:rsidR="0060712D" w:rsidRPr="00D77577">
        <w:rPr>
          <w:rFonts w:ascii="Times New Roman CYR" w:hAnsi="Times New Roman CYR" w:cs="Times New Roman CYR"/>
        </w:rPr>
        <w:t xml:space="preserve"> государственным</w:t>
      </w:r>
      <w:r w:rsidR="004F4724" w:rsidRPr="00D77577">
        <w:rPr>
          <w:rFonts w:ascii="Times New Roman CYR" w:hAnsi="Times New Roman CYR" w:cs="Times New Roman CYR"/>
        </w:rPr>
        <w:t xml:space="preserve"> </w:t>
      </w:r>
      <w:r w:rsidR="0060712D" w:rsidRPr="00D77577">
        <w:rPr>
          <w:rFonts w:ascii="Times New Roman CYR" w:hAnsi="Times New Roman CYR" w:cs="Times New Roman CYR"/>
        </w:rPr>
        <w:t>и местны</w:t>
      </w:r>
      <w:r w:rsidR="004F4724" w:rsidRPr="00D77577">
        <w:rPr>
          <w:rFonts w:ascii="Times New Roman CYR" w:hAnsi="Times New Roman CYR" w:cs="Times New Roman CYR"/>
        </w:rPr>
        <w:t>м</w:t>
      </w:r>
      <w:r w:rsidR="0060712D" w:rsidRPr="00D77577">
        <w:rPr>
          <w:rFonts w:ascii="Times New Roman CYR" w:hAnsi="Times New Roman CYR" w:cs="Times New Roman CYR"/>
        </w:rPr>
        <w:t xml:space="preserve"> норма</w:t>
      </w:r>
      <w:r w:rsidR="004F4724" w:rsidRPr="00D77577">
        <w:rPr>
          <w:rFonts w:ascii="Times New Roman CYR" w:hAnsi="Times New Roman CYR" w:cs="Times New Roman CYR"/>
        </w:rPr>
        <w:t>м и требованиям</w:t>
      </w:r>
      <w:r w:rsidR="0060712D" w:rsidRPr="00D77577">
        <w:rPr>
          <w:rFonts w:ascii="Times New Roman CYR" w:hAnsi="Times New Roman CYR" w:cs="Times New Roman CYR"/>
        </w:rPr>
        <w:t xml:space="preserve">, в том числе </w:t>
      </w:r>
      <w:r w:rsidR="004F4724" w:rsidRPr="00D77577">
        <w:rPr>
          <w:rFonts w:ascii="Times New Roman CYR" w:hAnsi="Times New Roman CYR" w:cs="Times New Roman CYR"/>
        </w:rPr>
        <w:t>требованиям</w:t>
      </w:r>
      <w:r w:rsidR="0060712D" w:rsidRPr="00D77577">
        <w:rPr>
          <w:rFonts w:ascii="Times New Roman CYR" w:hAnsi="Times New Roman CYR" w:cs="Times New Roman CYR"/>
        </w:rPr>
        <w:t xml:space="preserve"> федеральных государственных образовательных </w:t>
      </w:r>
      <w:hyperlink r:id="rId20" w:history="1">
        <w:r w:rsidR="0060712D" w:rsidRPr="00D77577">
          <w:rPr>
            <w:rFonts w:ascii="Times New Roman CYR" w:hAnsi="Times New Roman CYR" w:cs="Times New Roman CYR"/>
          </w:rPr>
          <w:t>стандартов</w:t>
        </w:r>
      </w:hyperlink>
      <w:r w:rsidR="004F4724" w:rsidRPr="00D77577">
        <w:rPr>
          <w:rFonts w:ascii="Times New Roman CYR" w:hAnsi="Times New Roman CYR" w:cs="Times New Roman CYR"/>
        </w:rPr>
        <w:t>, федеральным</w:t>
      </w:r>
      <w:r w:rsidR="0060712D" w:rsidRPr="00D77577">
        <w:rPr>
          <w:rFonts w:ascii="Times New Roman CYR" w:hAnsi="Times New Roman CYR" w:cs="Times New Roman CYR"/>
        </w:rPr>
        <w:t xml:space="preserve"> государствен</w:t>
      </w:r>
      <w:r w:rsidR="004F4724" w:rsidRPr="00D77577">
        <w:rPr>
          <w:rFonts w:ascii="Times New Roman CYR" w:hAnsi="Times New Roman CYR" w:cs="Times New Roman CYR"/>
        </w:rPr>
        <w:t>ным</w:t>
      </w:r>
      <w:r w:rsidR="0060712D" w:rsidRPr="00D77577">
        <w:rPr>
          <w:rFonts w:ascii="Times New Roman CYR" w:hAnsi="Times New Roman CYR" w:cs="Times New Roman CYR"/>
        </w:rPr>
        <w:t xml:space="preserve"> требо</w:t>
      </w:r>
      <w:r w:rsidR="004F4724" w:rsidRPr="00D77577">
        <w:rPr>
          <w:rFonts w:ascii="Times New Roman CYR" w:hAnsi="Times New Roman CYR" w:cs="Times New Roman CYR"/>
        </w:rPr>
        <w:t>ваниям</w:t>
      </w:r>
      <w:r w:rsidR="0060712D" w:rsidRPr="00D77577">
        <w:rPr>
          <w:rFonts w:ascii="Times New Roman CYR" w:hAnsi="Times New Roman CYR" w:cs="Times New Roman CYR"/>
        </w:rPr>
        <w:t>;</w:t>
      </w:r>
    </w:p>
    <w:p w:rsidR="007C779B" w:rsidRDefault="007C779B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C779B">
        <w:rPr>
          <w:rFonts w:ascii="Times New Roman CYR" w:hAnsi="Times New Roman CYR" w:cs="Times New Roman CYR"/>
        </w:rPr>
        <w:lastRenderedPageBreak/>
        <w:t>отсутствие (несоответствие) 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статьи 46 Федерального закона № 273-ФЗ,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60712D" w:rsidRPr="00D77577" w:rsidRDefault="00961C20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961C20">
        <w:rPr>
          <w:rFonts w:ascii="Times New Roman CYR" w:hAnsi="Times New Roman CYR" w:cs="Times New Roman CYR"/>
        </w:rPr>
        <w:t xml:space="preserve">отсутствие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6 статьи 28 </w:t>
      </w:r>
      <w:r w:rsidR="00C72BB4" w:rsidRPr="007C779B">
        <w:rPr>
          <w:rFonts w:ascii="Times New Roman CYR" w:hAnsi="Times New Roman CYR" w:cs="Times New Roman CYR"/>
        </w:rPr>
        <w:t>Федерального закона № 273-ФЗ</w:t>
      </w:r>
      <w:r w:rsidR="0060712D" w:rsidRPr="00D77577">
        <w:rPr>
          <w:rFonts w:ascii="Times New Roman CYR" w:hAnsi="Times New Roman CYR" w:cs="Times New Roman CYR"/>
        </w:rPr>
        <w:t>;</w:t>
      </w:r>
      <w:proofErr w:type="gramEnd"/>
    </w:p>
    <w:p w:rsidR="0060712D" w:rsidRPr="00D77577" w:rsidRDefault="00961C20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961C20">
        <w:rPr>
          <w:rFonts w:ascii="Times New Roman CYR" w:hAnsi="Times New Roman CYR" w:cs="Times New Roman CYR"/>
        </w:rPr>
        <w:t xml:space="preserve">отсутствие разработанных и утвержденных организацией, осуществляющей образовательную деятельность, образовательных программ в соответствии со статьей 12 </w:t>
      </w:r>
      <w:r w:rsidR="00C72BB4" w:rsidRPr="007C779B">
        <w:rPr>
          <w:rFonts w:ascii="Times New Roman CYR" w:hAnsi="Times New Roman CYR" w:cs="Times New Roman CYR"/>
        </w:rPr>
        <w:t>Федерального закона № 273-ФЗ</w:t>
      </w:r>
      <w:r>
        <w:rPr>
          <w:rFonts w:ascii="Times New Roman CYR" w:hAnsi="Times New Roman CYR" w:cs="Times New Roman CYR"/>
        </w:rPr>
        <w:t>;</w:t>
      </w:r>
    </w:p>
    <w:p w:rsidR="007C779B" w:rsidRDefault="006A0934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33" w:name="Par6"/>
      <w:bookmarkEnd w:id="33"/>
      <w:r w:rsidRPr="00D77577">
        <w:rPr>
          <w:lang w:eastAsia="ru-RU"/>
        </w:rPr>
        <w:t>3. </w:t>
      </w:r>
      <w:r w:rsidR="007C779B">
        <w:rPr>
          <w:lang w:eastAsia="ru-RU"/>
        </w:rPr>
        <w:t>Не</w:t>
      </w:r>
      <w:r w:rsidR="007C779B" w:rsidRPr="007C779B">
        <w:rPr>
          <w:lang w:eastAsia="ru-RU"/>
        </w:rPr>
        <w:t>представлен</w:t>
      </w:r>
      <w:r w:rsidR="007C779B">
        <w:rPr>
          <w:lang w:eastAsia="ru-RU"/>
        </w:rPr>
        <w:t>ие</w:t>
      </w:r>
      <w:r w:rsidR="007C779B" w:rsidRPr="007C779B">
        <w:rPr>
          <w:lang w:eastAsia="ru-RU"/>
        </w:rPr>
        <w:t xml:space="preserve"> соискателем лицензии (лицензиатом) в течение </w:t>
      </w:r>
      <w:r w:rsidR="00421A42">
        <w:rPr>
          <w:lang w:eastAsia="ru-RU"/>
        </w:rPr>
        <w:br/>
      </w:r>
      <w:r w:rsidR="007C779B" w:rsidRPr="007C779B">
        <w:rPr>
          <w:lang w:eastAsia="ru-RU"/>
        </w:rPr>
        <w:t xml:space="preserve">30 дней со дня получения </w:t>
      </w:r>
      <w:r w:rsidR="007C779B">
        <w:rPr>
          <w:lang w:eastAsia="ru-RU"/>
        </w:rPr>
        <w:t>уведомления д</w:t>
      </w:r>
      <w:r w:rsidR="0060712D" w:rsidRPr="00D77577">
        <w:rPr>
          <w:lang w:eastAsia="ru-RU"/>
        </w:rPr>
        <w:t>окумент</w:t>
      </w:r>
      <w:r w:rsidR="007C779B">
        <w:rPr>
          <w:lang w:eastAsia="ru-RU"/>
        </w:rPr>
        <w:t>ов</w:t>
      </w:r>
      <w:r w:rsidR="0060712D" w:rsidRPr="00D77577">
        <w:rPr>
          <w:lang w:eastAsia="ru-RU"/>
        </w:rPr>
        <w:t>, запрошенны</w:t>
      </w:r>
      <w:r w:rsidR="007C779B">
        <w:rPr>
          <w:lang w:eastAsia="ru-RU"/>
        </w:rPr>
        <w:t>х</w:t>
      </w:r>
      <w:r w:rsidR="0060712D" w:rsidRPr="00D77577">
        <w:rPr>
          <w:lang w:eastAsia="ru-RU"/>
        </w:rPr>
        <w:t xml:space="preserve"> лицензирующим органом и указанны</w:t>
      </w:r>
      <w:r w:rsidR="007C779B">
        <w:rPr>
          <w:lang w:eastAsia="ru-RU"/>
        </w:rPr>
        <w:t xml:space="preserve">х </w:t>
      </w:r>
      <w:r w:rsidR="0060712D" w:rsidRPr="00D77577">
        <w:rPr>
          <w:lang w:eastAsia="ru-RU"/>
        </w:rPr>
        <w:t>в уведомлении о перечне недостающих документов и (или) документов, неправильно оформленных и (или) заполненных</w:t>
      </w:r>
      <w:r w:rsidR="007C779B">
        <w:rPr>
          <w:lang w:eastAsia="ru-RU"/>
        </w:rPr>
        <w:t>.</w:t>
      </w:r>
    </w:p>
    <w:p w:rsidR="006B6404" w:rsidRPr="00D77577" w:rsidRDefault="0060712D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77577">
        <w:rPr>
          <w:rFonts w:ascii="Times New Roman CYR" w:hAnsi="Times New Roman CYR" w:cs="Times New Roman CYR"/>
        </w:rPr>
        <w:t xml:space="preserve">При анализе докладов лицензирующих органов субъектов Российской Федерации выявлено, что в </w:t>
      </w:r>
      <w:r w:rsidR="00663649">
        <w:rPr>
          <w:rFonts w:ascii="Times New Roman CYR" w:hAnsi="Times New Roman CYR" w:cs="Times New Roman CYR"/>
        </w:rPr>
        <w:t>63,5</w:t>
      </w:r>
      <w:r w:rsidR="00BC34FB" w:rsidRPr="00D77577">
        <w:rPr>
          <w:rFonts w:ascii="Times New Roman CYR" w:hAnsi="Times New Roman CYR" w:cs="Times New Roman CYR"/>
        </w:rPr>
        <w:t>% (</w:t>
      </w:r>
      <w:r w:rsidR="00663649">
        <w:rPr>
          <w:rFonts w:ascii="Times New Roman CYR" w:hAnsi="Times New Roman CYR" w:cs="Times New Roman CYR"/>
        </w:rPr>
        <w:t>54</w:t>
      </w:r>
      <w:r w:rsidR="00BC34FB" w:rsidRPr="00D77577">
        <w:rPr>
          <w:rFonts w:ascii="Times New Roman CYR" w:hAnsi="Times New Roman CYR" w:cs="Times New Roman CYR"/>
        </w:rPr>
        <w:t>)</w:t>
      </w:r>
      <w:r w:rsidR="00A86207" w:rsidRPr="00D77577">
        <w:rPr>
          <w:rFonts w:ascii="Times New Roman CYR" w:hAnsi="Times New Roman CYR" w:cs="Times New Roman CYR"/>
        </w:rPr>
        <w:t xml:space="preserve"> субъектах </w:t>
      </w:r>
      <w:r w:rsidRPr="00D77577">
        <w:rPr>
          <w:rFonts w:ascii="Times New Roman CYR" w:hAnsi="Times New Roman CYR" w:cs="Times New Roman CYR"/>
        </w:rPr>
        <w:t xml:space="preserve"> </w:t>
      </w:r>
      <w:r w:rsidR="000E612C" w:rsidRPr="00D77577">
        <w:rPr>
          <w:rFonts w:ascii="Times New Roman CYR" w:hAnsi="Times New Roman CYR" w:cs="Times New Roman CYR"/>
        </w:rPr>
        <w:t xml:space="preserve">отсутствовали случаи отказа в предоставлении лицензии, а в </w:t>
      </w:r>
      <w:r w:rsidR="00663649">
        <w:rPr>
          <w:rFonts w:ascii="Times New Roman CYR" w:hAnsi="Times New Roman CYR" w:cs="Times New Roman CYR"/>
        </w:rPr>
        <w:t>35,3</w:t>
      </w:r>
      <w:r w:rsidR="000E612C" w:rsidRPr="00D77577">
        <w:rPr>
          <w:rFonts w:ascii="Times New Roman CYR" w:hAnsi="Times New Roman CYR" w:cs="Times New Roman CYR"/>
        </w:rPr>
        <w:t>% (</w:t>
      </w:r>
      <w:r w:rsidR="00663649">
        <w:rPr>
          <w:rFonts w:ascii="Times New Roman CYR" w:hAnsi="Times New Roman CYR" w:cs="Times New Roman CYR"/>
        </w:rPr>
        <w:t>30</w:t>
      </w:r>
      <w:r w:rsidR="000E612C" w:rsidRPr="00D77577">
        <w:rPr>
          <w:rFonts w:ascii="Times New Roman CYR" w:hAnsi="Times New Roman CYR" w:cs="Times New Roman CYR"/>
        </w:rPr>
        <w:t xml:space="preserve">) отсутствовали случаи отказа в переоформлении лицензии. </w:t>
      </w:r>
      <w:r w:rsidR="00F562CF" w:rsidRPr="00D77577">
        <w:rPr>
          <w:rFonts w:ascii="Times New Roman CYR" w:hAnsi="Times New Roman CYR" w:cs="Times New Roman CYR"/>
        </w:rPr>
        <w:t xml:space="preserve">В </w:t>
      </w:r>
      <w:r w:rsidR="00D77577" w:rsidRPr="00D77577">
        <w:rPr>
          <w:rFonts w:ascii="Times New Roman CYR" w:hAnsi="Times New Roman CYR" w:cs="Times New Roman CYR"/>
        </w:rPr>
        <w:t>3</w:t>
      </w:r>
      <w:r w:rsidR="00EC730E">
        <w:rPr>
          <w:rFonts w:ascii="Times New Roman CYR" w:hAnsi="Times New Roman CYR" w:cs="Times New Roman CYR"/>
        </w:rPr>
        <w:t>4,1</w:t>
      </w:r>
      <w:r w:rsidR="00F562CF" w:rsidRPr="00D77577">
        <w:rPr>
          <w:rFonts w:ascii="Times New Roman CYR" w:hAnsi="Times New Roman CYR" w:cs="Times New Roman CYR"/>
        </w:rPr>
        <w:t>% (</w:t>
      </w:r>
      <w:r w:rsidR="00EC730E">
        <w:rPr>
          <w:rFonts w:ascii="Times New Roman CYR" w:hAnsi="Times New Roman CYR" w:cs="Times New Roman CYR"/>
        </w:rPr>
        <w:t>29</w:t>
      </w:r>
      <w:r w:rsidR="00F562CF" w:rsidRPr="00D77577">
        <w:rPr>
          <w:rFonts w:ascii="Times New Roman CYR" w:hAnsi="Times New Roman CYR" w:cs="Times New Roman CYR"/>
        </w:rPr>
        <w:t xml:space="preserve">) субъектах отсутствовали случаи отказа в предоставлении и переоформлении лицензии. </w:t>
      </w:r>
      <w:r w:rsidR="000E612C" w:rsidRPr="00D77577">
        <w:rPr>
          <w:rFonts w:ascii="Times New Roman CYR" w:hAnsi="Times New Roman CYR" w:cs="Times New Roman CYR"/>
        </w:rPr>
        <w:t xml:space="preserve">В </w:t>
      </w:r>
      <w:r w:rsidR="00EC730E">
        <w:rPr>
          <w:rFonts w:ascii="Times New Roman CYR" w:hAnsi="Times New Roman CYR" w:cs="Times New Roman CYR"/>
        </w:rPr>
        <w:t>2016 году</w:t>
      </w:r>
      <w:r w:rsidR="00663649">
        <w:rPr>
          <w:rFonts w:ascii="Times New Roman CYR" w:hAnsi="Times New Roman CYR" w:cs="Times New Roman CYR"/>
        </w:rPr>
        <w:t xml:space="preserve"> </w:t>
      </w:r>
      <w:r w:rsidR="00663649" w:rsidRPr="00D77577">
        <w:rPr>
          <w:rFonts w:ascii="Times New Roman CYR" w:hAnsi="Times New Roman CYR" w:cs="Times New Roman CYR"/>
        </w:rPr>
        <w:t>таких было</w:t>
      </w:r>
      <w:r w:rsidR="00663649">
        <w:rPr>
          <w:rFonts w:ascii="Times New Roman CYR" w:hAnsi="Times New Roman CYR" w:cs="Times New Roman CYR"/>
        </w:rPr>
        <w:t xml:space="preserve"> 33%</w:t>
      </w:r>
      <w:r w:rsidR="00EC730E">
        <w:rPr>
          <w:rFonts w:ascii="Times New Roman CYR" w:hAnsi="Times New Roman CYR" w:cs="Times New Roman CYR"/>
        </w:rPr>
        <w:t xml:space="preserve"> </w:t>
      </w:r>
      <w:r w:rsidRPr="00D77577">
        <w:rPr>
          <w:rFonts w:ascii="Times New Roman CYR" w:hAnsi="Times New Roman CYR" w:cs="Times New Roman CYR"/>
        </w:rPr>
        <w:t>от общего числа субъектов Российской Федерации</w:t>
      </w:r>
      <w:r w:rsidR="00663649">
        <w:rPr>
          <w:rFonts w:ascii="Times New Roman CYR" w:hAnsi="Times New Roman CYR" w:cs="Times New Roman CYR"/>
        </w:rPr>
        <w:t>.</w:t>
      </w:r>
      <w:r w:rsidRPr="00D77577">
        <w:rPr>
          <w:rFonts w:ascii="Times New Roman CYR" w:hAnsi="Times New Roman CYR" w:cs="Times New Roman CYR"/>
        </w:rPr>
        <w:t xml:space="preserve"> </w:t>
      </w:r>
    </w:p>
    <w:p w:rsidR="0060712D" w:rsidRPr="004E0DF2" w:rsidRDefault="0060712D" w:rsidP="00200886">
      <w:pPr>
        <w:spacing w:before="200" w:line="240" w:lineRule="auto"/>
        <w:ind w:firstLine="709"/>
        <w:jc w:val="both"/>
        <w:outlineLvl w:val="1"/>
        <w:rPr>
          <w:b/>
        </w:rPr>
      </w:pPr>
      <w:bookmarkStart w:id="34" w:name="_Toc381779681"/>
      <w:bookmarkStart w:id="35" w:name="_Toc475535824"/>
      <w:r w:rsidRPr="00B94327">
        <w:rPr>
          <w:b/>
        </w:rPr>
        <w:t>в) анализ и оценка наиболее распространенных нарушений, приведших к вынесению административных наказаний, приостановлению действия лицензии и аннулированию лицензии.</w:t>
      </w:r>
      <w:bookmarkEnd w:id="34"/>
      <w:bookmarkEnd w:id="35"/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bookmarkStart w:id="36" w:name="_Toc381779682"/>
      <w:bookmarkStart w:id="37" w:name="_Toc475535825"/>
      <w:r w:rsidRPr="0030773F">
        <w:rPr>
          <w:rFonts w:ascii="Times New Roman CYR" w:hAnsi="Times New Roman CYR" w:cs="Times New Roman CYR"/>
        </w:rPr>
        <w:t>В 2017 году лицензирующими органами были составлены протоколы</w:t>
      </w:r>
      <w:r w:rsidRPr="004E0DF2">
        <w:rPr>
          <w:rFonts w:ascii="Times New Roman CYR" w:hAnsi="Times New Roman CYR" w:cs="Times New Roman CYR"/>
        </w:rPr>
        <w:t xml:space="preserve"> об административных нарушениях</w:t>
      </w:r>
      <w:r>
        <w:rPr>
          <w:rFonts w:ascii="Times New Roman CYR" w:hAnsi="Times New Roman CYR" w:cs="Times New Roman CYR"/>
        </w:rPr>
        <w:t>:</w:t>
      </w:r>
    </w:p>
    <w:p w:rsidR="00B94327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части 1 </w:t>
      </w:r>
      <w:r w:rsidRPr="004E0DF2">
        <w:rPr>
          <w:rFonts w:ascii="Times New Roman CYR" w:hAnsi="Times New Roman CYR" w:cs="Times New Roman CYR"/>
        </w:rPr>
        <w:t>статьи 19.20 КоАП</w:t>
      </w:r>
      <w:r>
        <w:rPr>
          <w:rFonts w:ascii="Times New Roman CYR" w:hAnsi="Times New Roman CYR" w:cs="Times New Roman CYR"/>
        </w:rPr>
        <w:t xml:space="preserve"> (о</w:t>
      </w:r>
      <w:r w:rsidRPr="004B6802">
        <w:rPr>
          <w:rFonts w:ascii="Times New Roman CYR" w:hAnsi="Times New Roman CYR" w:cs="Times New Roman CYR"/>
        </w:rPr>
        <w:t>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</w:t>
      </w:r>
      <w:r>
        <w:rPr>
          <w:rFonts w:ascii="Times New Roman CYR" w:hAnsi="Times New Roman CYR" w:cs="Times New Roman CYR"/>
        </w:rPr>
        <w:t>)</w:t>
      </w:r>
      <w:r w:rsidR="00CA5AAE">
        <w:rPr>
          <w:rFonts w:ascii="Times New Roman CYR" w:hAnsi="Times New Roman CYR" w:cs="Times New Roman CYR"/>
        </w:rPr>
        <w:t xml:space="preserve"> – 351;</w:t>
      </w:r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E0DF2">
        <w:rPr>
          <w:rFonts w:ascii="Times New Roman CYR" w:hAnsi="Times New Roman CYR" w:cs="Times New Roman CYR"/>
        </w:rPr>
        <w:t>по части 2 статьи 19.20 КоАП (</w:t>
      </w:r>
      <w:r>
        <w:rPr>
          <w:rFonts w:ascii="Times New Roman CYR" w:hAnsi="Times New Roman CYR" w:cs="Times New Roman CYR"/>
        </w:rPr>
        <w:t>о</w:t>
      </w:r>
      <w:r w:rsidRPr="004B6802">
        <w:rPr>
          <w:rFonts w:ascii="Times New Roman CYR" w:hAnsi="Times New Roman CYR" w:cs="Times New Roman CYR"/>
        </w:rPr>
        <w:t xml:space="preserve">существление деятельности, не связанной с извлечением прибыли, с нарушением требований и условий, предусмотренных </w:t>
      </w:r>
      <w:r w:rsidRPr="004B6802">
        <w:rPr>
          <w:rFonts w:ascii="Times New Roman CYR" w:hAnsi="Times New Roman CYR" w:cs="Times New Roman CYR"/>
        </w:rPr>
        <w:lastRenderedPageBreak/>
        <w:t>специальным разрешением (лицензией), если такое разрешение (лицензия) обязательно (обязательна)</w:t>
      </w:r>
      <w:r w:rsidRPr="004E0DF2">
        <w:rPr>
          <w:rFonts w:ascii="Times New Roman CYR" w:hAnsi="Times New Roman CYR" w:cs="Times New Roman CYR"/>
        </w:rPr>
        <w:t>)</w:t>
      </w:r>
      <w:r w:rsidR="00CA5AAE">
        <w:rPr>
          <w:rFonts w:ascii="Times New Roman CYR" w:hAnsi="Times New Roman CYR" w:cs="Times New Roman CYR"/>
        </w:rPr>
        <w:t xml:space="preserve"> – 512;</w:t>
      </w:r>
      <w:r w:rsidRPr="004E0DF2">
        <w:rPr>
          <w:rFonts w:ascii="Times New Roman CYR" w:hAnsi="Times New Roman CYR" w:cs="Times New Roman CYR"/>
        </w:rPr>
        <w:t xml:space="preserve"> </w:t>
      </w:r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E0DF2">
        <w:rPr>
          <w:rFonts w:ascii="Times New Roman CYR" w:hAnsi="Times New Roman CYR" w:cs="Times New Roman CYR"/>
        </w:rPr>
        <w:t>по части 3 статьи 19.20 КоАП  (</w:t>
      </w:r>
      <w:r>
        <w:rPr>
          <w:rFonts w:ascii="Times New Roman CYR" w:hAnsi="Times New Roman CYR" w:cs="Times New Roman CYR"/>
        </w:rPr>
        <w:t>о</w:t>
      </w:r>
      <w:r w:rsidRPr="004B6802">
        <w:rPr>
          <w:rFonts w:ascii="Times New Roman CYR" w:hAnsi="Times New Roman CYR" w:cs="Times New Roman CYR"/>
        </w:rPr>
        <w:t>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</w:t>
      </w:r>
      <w:r w:rsidRPr="004E0DF2">
        <w:rPr>
          <w:rFonts w:ascii="Times New Roman CYR" w:hAnsi="Times New Roman CYR" w:cs="Times New Roman CYR"/>
        </w:rPr>
        <w:t>)</w:t>
      </w:r>
      <w:r w:rsidR="00CA5AAE">
        <w:rPr>
          <w:rFonts w:ascii="Times New Roman CYR" w:hAnsi="Times New Roman CYR" w:cs="Times New Roman CYR"/>
        </w:rPr>
        <w:t xml:space="preserve"> – 1283.</w:t>
      </w:r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4E0DF2">
        <w:rPr>
          <w:rFonts w:ascii="Times New Roman CYR" w:hAnsi="Times New Roman CYR" w:cs="Times New Roman CYR"/>
        </w:rPr>
        <w:t xml:space="preserve">В качестве </w:t>
      </w:r>
      <w:r w:rsidRPr="004E0DF2">
        <w:rPr>
          <w:rFonts w:ascii="Times New Roman CYR" w:hAnsi="Times New Roman CYR" w:cs="Times New Roman CYR"/>
          <w:bCs/>
        </w:rPr>
        <w:t>наиболее распространенных нарушений, приведших к назначению административных наказаний, приостановлению действия лицензии и аннулированию лицензии, необходимо отметить следующие:</w:t>
      </w:r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proofErr w:type="gramStart"/>
      <w:r w:rsidRPr="004E0DF2">
        <w:rPr>
          <w:rFonts w:ascii="Times New Roman CYR" w:hAnsi="Times New Roman CYR" w:cs="Times New Roman CYR"/>
          <w:bCs/>
        </w:rPr>
        <w:t xml:space="preserve">нарушение подпункта «а» пункта 6 </w:t>
      </w:r>
      <w:r w:rsidRPr="004E0DF2">
        <w:t xml:space="preserve">Положения о лицензировании </w:t>
      </w:r>
      <w:r>
        <w:t xml:space="preserve">образовательной деятельности, утвержденного постановлением Правительства Российской Федерации от 28 октября 2013 г. № 966 (далее </w:t>
      </w:r>
      <w:r w:rsidR="00CA5AAE">
        <w:rPr>
          <w:rFonts w:ascii="Times New Roman CYR" w:hAnsi="Times New Roman CYR" w:cs="Times New Roman CYR"/>
        </w:rPr>
        <w:t xml:space="preserve">– </w:t>
      </w:r>
      <w:r>
        <w:t xml:space="preserve"> Положения о лицензировании),</w:t>
      </w:r>
      <w:r w:rsidRPr="008A6FC3">
        <w:t xml:space="preserve"> </w:t>
      </w:r>
      <w:r w:rsidRPr="004E0DF2">
        <w:rPr>
          <w:rFonts w:ascii="Times New Roman CYR" w:hAnsi="Times New Roman CYR" w:cs="Times New Roman CYR"/>
          <w:bCs/>
        </w:rPr>
        <w:t>в части наличия</w:t>
      </w:r>
      <w:r w:rsidRPr="004E0DF2">
        <w:t xml:space="preserve"> </w:t>
      </w:r>
      <w:r w:rsidRPr="00FC3056">
        <w:rPr>
          <w:rFonts w:ascii="Times New Roman CYR" w:hAnsi="Times New Roman CYR" w:cs="Times New Roman CYR"/>
          <w:bCs/>
        </w:rPr>
        <w:t>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</w:t>
      </w:r>
      <w:r w:rsidRPr="004E0DF2">
        <w:rPr>
          <w:rFonts w:ascii="Times New Roman CYR" w:hAnsi="Times New Roman CYR" w:cs="Times New Roman CYR"/>
          <w:bCs/>
        </w:rPr>
        <w:t>;</w:t>
      </w:r>
      <w:proofErr w:type="gramEnd"/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4E0DF2">
        <w:rPr>
          <w:rFonts w:ascii="Times New Roman CYR" w:hAnsi="Times New Roman CYR" w:cs="Times New Roman CYR"/>
          <w:bCs/>
        </w:rPr>
        <w:t xml:space="preserve">нарушение подпункта «б» пункта 6 Положения о лицензировании в части наличия </w:t>
      </w:r>
      <w:r w:rsidRPr="00FC3056">
        <w:rPr>
          <w:rFonts w:ascii="Times New Roman CYR" w:hAnsi="Times New Roman CYR" w:cs="Times New Roman CYR"/>
          <w:bCs/>
        </w:rPr>
        <w:t>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</w:t>
      </w:r>
      <w:r w:rsidRPr="004E0DF2">
        <w:rPr>
          <w:rFonts w:ascii="Times New Roman CYR" w:hAnsi="Times New Roman CYR" w:cs="Times New Roman CYR"/>
          <w:bCs/>
        </w:rPr>
        <w:t>;</w:t>
      </w:r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4E0DF2">
        <w:rPr>
          <w:rFonts w:ascii="Times New Roman CYR" w:hAnsi="Times New Roman CYR" w:cs="Times New Roman CYR"/>
          <w:bCs/>
        </w:rPr>
        <w:t xml:space="preserve">нарушение подпункта «г» пункта 6 Положения о лицензировании в части наличия </w:t>
      </w:r>
      <w:r w:rsidRPr="00FC3056">
        <w:rPr>
          <w:rFonts w:ascii="Times New Roman CYR" w:hAnsi="Times New Roman CYR" w:cs="Times New Roman CYR"/>
          <w:bCs/>
        </w:rPr>
        <w:t xml:space="preserve">разработанных и утвержденных организацией, осуществляющей образовательную деятельность, образовательных программ в соответствии со статьей 12 </w:t>
      </w:r>
      <w:r w:rsidRPr="004E0DF2">
        <w:rPr>
          <w:rFonts w:ascii="Times New Roman CYR" w:hAnsi="Times New Roman CYR" w:cs="Times New Roman CYR"/>
          <w:bCs/>
        </w:rPr>
        <w:t>Федерального</w:t>
      </w:r>
      <w:r>
        <w:rPr>
          <w:rFonts w:ascii="Times New Roman CYR" w:hAnsi="Times New Roman CYR" w:cs="Times New Roman CYR"/>
          <w:bCs/>
        </w:rPr>
        <w:t xml:space="preserve"> </w:t>
      </w:r>
      <w:r w:rsidRPr="004E0DF2">
        <w:rPr>
          <w:rFonts w:ascii="Times New Roman CYR" w:hAnsi="Times New Roman CYR" w:cs="Times New Roman CYR"/>
          <w:bCs/>
        </w:rPr>
        <w:t>закона № 273-ФЗ;</w:t>
      </w:r>
      <w:r>
        <w:rPr>
          <w:rFonts w:ascii="Times New Roman CYR" w:hAnsi="Times New Roman CYR" w:cs="Times New Roman CYR"/>
          <w:bCs/>
        </w:rPr>
        <w:t xml:space="preserve"> </w:t>
      </w:r>
    </w:p>
    <w:p w:rsidR="00B94327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proofErr w:type="gramStart"/>
      <w:r w:rsidRPr="004E0DF2">
        <w:rPr>
          <w:rFonts w:ascii="Times New Roman CYR" w:hAnsi="Times New Roman CYR" w:cs="Times New Roman CYR"/>
          <w:bCs/>
        </w:rPr>
        <w:t xml:space="preserve">нарушение подпункта «д» пункта 6 Положения о лицензировании в части наличия </w:t>
      </w:r>
      <w:r w:rsidRPr="00FC3056">
        <w:rPr>
          <w:rFonts w:ascii="Times New Roman CYR" w:hAnsi="Times New Roman CYR" w:cs="Times New Roman CYR"/>
          <w:bCs/>
        </w:rPr>
        <w:t xml:space="preserve">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статьи 46 </w:t>
      </w:r>
      <w:r w:rsidRPr="004E0DF2">
        <w:rPr>
          <w:rFonts w:ascii="Times New Roman CYR" w:hAnsi="Times New Roman CYR" w:cs="Times New Roman CYR"/>
          <w:bCs/>
        </w:rPr>
        <w:t>Федерального</w:t>
      </w:r>
      <w:r>
        <w:rPr>
          <w:rFonts w:ascii="Times New Roman CYR" w:hAnsi="Times New Roman CYR" w:cs="Times New Roman CYR"/>
          <w:bCs/>
        </w:rPr>
        <w:t xml:space="preserve"> </w:t>
      </w:r>
      <w:r w:rsidRPr="004E0DF2">
        <w:rPr>
          <w:rFonts w:ascii="Times New Roman CYR" w:hAnsi="Times New Roman CYR" w:cs="Times New Roman CYR"/>
          <w:bCs/>
        </w:rPr>
        <w:t>закона № 273-ФЗ</w:t>
      </w:r>
      <w:r w:rsidRPr="00FC3056">
        <w:rPr>
          <w:rFonts w:ascii="Times New Roman CYR" w:hAnsi="Times New Roman CYR" w:cs="Times New Roman CYR"/>
          <w:bCs/>
        </w:rPr>
        <w:t>, а также требованиям федеральных государственных образовательных стандартов, федеральным государственным требованиям и</w:t>
      </w:r>
      <w:proofErr w:type="gramEnd"/>
      <w:r w:rsidRPr="00FC3056">
        <w:rPr>
          <w:rFonts w:ascii="Times New Roman CYR" w:hAnsi="Times New Roman CYR" w:cs="Times New Roman CYR"/>
          <w:bCs/>
        </w:rPr>
        <w:t xml:space="preserve"> (или) </w:t>
      </w:r>
      <w:proofErr w:type="gramStart"/>
      <w:r w:rsidRPr="00FC3056">
        <w:rPr>
          <w:rFonts w:ascii="Times New Roman CYR" w:hAnsi="Times New Roman CYR" w:cs="Times New Roman CYR"/>
          <w:bCs/>
        </w:rPr>
        <w:t>образовательным</w:t>
      </w:r>
      <w:proofErr w:type="gramEnd"/>
      <w:r w:rsidRPr="00FC3056">
        <w:rPr>
          <w:rFonts w:ascii="Times New Roman CYR" w:hAnsi="Times New Roman CYR" w:cs="Times New Roman CYR"/>
          <w:bCs/>
        </w:rPr>
        <w:t xml:space="preserve"> стандарта</w:t>
      </w:r>
      <w:r w:rsidRPr="004E0DF2">
        <w:rPr>
          <w:rFonts w:ascii="Times New Roman CYR" w:hAnsi="Times New Roman CYR" w:cs="Times New Roman CYR"/>
          <w:bCs/>
        </w:rPr>
        <w:t>;</w:t>
      </w:r>
    </w:p>
    <w:p w:rsidR="00B94327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4E0DF2">
        <w:rPr>
          <w:rFonts w:ascii="Times New Roman CYR" w:hAnsi="Times New Roman CYR" w:cs="Times New Roman CYR"/>
          <w:bCs/>
        </w:rPr>
        <w:t>нарушение подпункта «</w:t>
      </w:r>
      <w:r>
        <w:rPr>
          <w:rFonts w:ascii="Times New Roman CYR" w:hAnsi="Times New Roman CYR" w:cs="Times New Roman CYR"/>
          <w:bCs/>
        </w:rPr>
        <w:t>е</w:t>
      </w:r>
      <w:r w:rsidRPr="004E0DF2">
        <w:rPr>
          <w:rFonts w:ascii="Times New Roman CYR" w:hAnsi="Times New Roman CYR" w:cs="Times New Roman CYR"/>
          <w:bCs/>
        </w:rPr>
        <w:t xml:space="preserve">» пункта 6 Положения </w:t>
      </w:r>
      <w:r>
        <w:rPr>
          <w:rFonts w:ascii="Times New Roman CYR" w:hAnsi="Times New Roman CYR" w:cs="Times New Roman CYR"/>
          <w:bCs/>
        </w:rPr>
        <w:t xml:space="preserve">о лицензировании </w:t>
      </w:r>
      <w:r w:rsidRPr="004E0DF2">
        <w:rPr>
          <w:rFonts w:ascii="Times New Roman CYR" w:hAnsi="Times New Roman CYR" w:cs="Times New Roman CYR"/>
          <w:bCs/>
        </w:rPr>
        <w:t>в части</w:t>
      </w:r>
      <w:r>
        <w:rPr>
          <w:rFonts w:ascii="Times New Roman CYR" w:hAnsi="Times New Roman CYR" w:cs="Times New Roman CYR"/>
          <w:bCs/>
        </w:rPr>
        <w:t xml:space="preserve"> </w:t>
      </w:r>
      <w:r w:rsidRPr="004E0DF2">
        <w:rPr>
          <w:rFonts w:ascii="Times New Roman CYR" w:hAnsi="Times New Roman CYR" w:cs="Times New Roman CYR"/>
          <w:bCs/>
        </w:rPr>
        <w:t>наличия</w:t>
      </w:r>
      <w:r>
        <w:rPr>
          <w:rFonts w:ascii="Times New Roman CYR" w:hAnsi="Times New Roman CYR" w:cs="Times New Roman CYR"/>
          <w:bCs/>
        </w:rPr>
        <w:t xml:space="preserve"> </w:t>
      </w:r>
      <w:r w:rsidRPr="007D05B7">
        <w:rPr>
          <w:rFonts w:ascii="Times New Roman CYR" w:hAnsi="Times New Roman CYR" w:cs="Times New Roman CYR"/>
          <w:bCs/>
        </w:rPr>
        <w:t xml:space="preserve">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</w:t>
      </w:r>
      <w:r w:rsidRPr="004E0DF2">
        <w:rPr>
          <w:rFonts w:ascii="Times New Roman CYR" w:hAnsi="Times New Roman CYR" w:cs="Times New Roman CYR"/>
          <w:bCs/>
        </w:rPr>
        <w:t>Федерального</w:t>
      </w:r>
      <w:r>
        <w:rPr>
          <w:rFonts w:ascii="Times New Roman CYR" w:hAnsi="Times New Roman CYR" w:cs="Times New Roman CYR"/>
          <w:bCs/>
        </w:rPr>
        <w:t xml:space="preserve"> </w:t>
      </w:r>
      <w:r w:rsidRPr="004E0DF2">
        <w:rPr>
          <w:rFonts w:ascii="Times New Roman CYR" w:hAnsi="Times New Roman CYR" w:cs="Times New Roman CYR"/>
          <w:bCs/>
        </w:rPr>
        <w:t>закона № 273-ФЗ</w:t>
      </w:r>
      <w:r>
        <w:rPr>
          <w:rFonts w:ascii="Times New Roman CYR" w:hAnsi="Times New Roman CYR" w:cs="Times New Roman CYR"/>
          <w:bCs/>
        </w:rPr>
        <w:t>;</w:t>
      </w:r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r w:rsidRPr="004E0DF2">
        <w:rPr>
          <w:rFonts w:ascii="Times New Roman CYR" w:hAnsi="Times New Roman CYR" w:cs="Times New Roman CYR"/>
          <w:bCs/>
        </w:rPr>
        <w:lastRenderedPageBreak/>
        <w:t xml:space="preserve">нарушение подпункта «ж» пункта 6 Положения </w:t>
      </w:r>
      <w:r>
        <w:rPr>
          <w:rFonts w:ascii="Times New Roman CYR" w:hAnsi="Times New Roman CYR" w:cs="Times New Roman CYR"/>
          <w:bCs/>
        </w:rPr>
        <w:t xml:space="preserve">о лицензировании </w:t>
      </w:r>
      <w:r w:rsidRPr="004E0DF2">
        <w:rPr>
          <w:rFonts w:ascii="Times New Roman CYR" w:hAnsi="Times New Roman CYR" w:cs="Times New Roman CYR"/>
          <w:bCs/>
        </w:rPr>
        <w:t xml:space="preserve">в части наличия </w:t>
      </w:r>
      <w:r w:rsidRPr="00FC3056">
        <w:rPr>
          <w:rFonts w:ascii="Times New Roman CYR" w:hAnsi="Times New Roman CYR" w:cs="Times New Roman CYR"/>
          <w:bCs/>
        </w:rPr>
        <w:t xml:space="preserve">в соответствии с пунктом 2 статьи 40 Федерального закона </w:t>
      </w:r>
      <w:r w:rsidR="00C23695">
        <w:rPr>
          <w:rFonts w:ascii="Times New Roman CYR" w:hAnsi="Times New Roman CYR" w:cs="Times New Roman CYR"/>
          <w:bCs/>
        </w:rPr>
        <w:br/>
      </w:r>
      <w:r>
        <w:rPr>
          <w:rFonts w:ascii="Times New Roman CYR" w:hAnsi="Times New Roman CYR" w:cs="Times New Roman CYR"/>
          <w:bCs/>
        </w:rPr>
        <w:t>«</w:t>
      </w:r>
      <w:r w:rsidRPr="00FC3056">
        <w:rPr>
          <w:rFonts w:ascii="Times New Roman CYR" w:hAnsi="Times New Roman CYR" w:cs="Times New Roman CYR"/>
          <w:bCs/>
        </w:rPr>
        <w:t>О санитарно-эпидемиологическом благополучии населения</w:t>
      </w:r>
      <w:r>
        <w:rPr>
          <w:rFonts w:ascii="Times New Roman CYR" w:hAnsi="Times New Roman CYR" w:cs="Times New Roman CYR"/>
          <w:bCs/>
        </w:rPr>
        <w:t>»</w:t>
      </w:r>
      <w:r w:rsidRPr="00FC3056">
        <w:rPr>
          <w:rFonts w:ascii="Times New Roman CYR" w:hAnsi="Times New Roman CYR" w:cs="Times New Roman CYR"/>
          <w:bCs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</w:t>
      </w:r>
      <w:proofErr w:type="gramStart"/>
      <w:r w:rsidRPr="00FC3056">
        <w:rPr>
          <w:rFonts w:ascii="Times New Roman CYR" w:hAnsi="Times New Roman CYR" w:cs="Times New Roman CYR"/>
          <w:bCs/>
        </w:rPr>
        <w:t>учитывающего</w:t>
      </w:r>
      <w:proofErr w:type="gramEnd"/>
      <w:r w:rsidRPr="00FC3056">
        <w:rPr>
          <w:rFonts w:ascii="Times New Roman CYR" w:hAnsi="Times New Roman CYR" w:cs="Times New Roman CYR"/>
          <w:bCs/>
        </w:rPr>
        <w:t xml:space="preserve"> в том числе требования статьи 17 Федерального закона </w:t>
      </w:r>
      <w:r w:rsidR="00C23695">
        <w:rPr>
          <w:rFonts w:ascii="Times New Roman CYR" w:hAnsi="Times New Roman CYR" w:cs="Times New Roman CYR"/>
          <w:bCs/>
        </w:rPr>
        <w:br/>
      </w:r>
      <w:r>
        <w:rPr>
          <w:rFonts w:ascii="Times New Roman CYR" w:hAnsi="Times New Roman CYR" w:cs="Times New Roman CYR"/>
          <w:bCs/>
        </w:rPr>
        <w:t>«</w:t>
      </w:r>
      <w:r w:rsidRPr="00FC3056">
        <w:rPr>
          <w:rFonts w:ascii="Times New Roman CYR" w:hAnsi="Times New Roman CYR" w:cs="Times New Roman CYR"/>
          <w:bCs/>
        </w:rPr>
        <w:t>О санитарно-эпидемиологическом благополучии населения</w:t>
      </w:r>
      <w:r>
        <w:rPr>
          <w:rFonts w:ascii="Times New Roman CYR" w:hAnsi="Times New Roman CYR" w:cs="Times New Roman CYR"/>
          <w:bCs/>
        </w:rPr>
        <w:t>»</w:t>
      </w:r>
      <w:r w:rsidRPr="00FC3056">
        <w:rPr>
          <w:rFonts w:ascii="Times New Roman CYR" w:hAnsi="Times New Roman CYR" w:cs="Times New Roman CYR"/>
          <w:bCs/>
        </w:rPr>
        <w:t xml:space="preserve">, а также статьи 41 </w:t>
      </w:r>
      <w:r w:rsidRPr="004E0DF2">
        <w:rPr>
          <w:rFonts w:ascii="Times New Roman CYR" w:hAnsi="Times New Roman CYR" w:cs="Times New Roman CYR"/>
          <w:bCs/>
        </w:rPr>
        <w:t>Федерального</w:t>
      </w:r>
      <w:r>
        <w:rPr>
          <w:rFonts w:ascii="Times New Roman CYR" w:hAnsi="Times New Roman CYR" w:cs="Times New Roman CYR"/>
          <w:bCs/>
        </w:rPr>
        <w:t xml:space="preserve"> </w:t>
      </w:r>
      <w:r w:rsidRPr="004E0DF2">
        <w:rPr>
          <w:rFonts w:ascii="Times New Roman CYR" w:hAnsi="Times New Roman CYR" w:cs="Times New Roman CYR"/>
          <w:bCs/>
        </w:rPr>
        <w:t>закона № 273-ФЗ;</w:t>
      </w:r>
    </w:p>
    <w:p w:rsidR="00B94327" w:rsidRPr="004E0DF2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proofErr w:type="gramStart"/>
      <w:r w:rsidRPr="004E0DF2">
        <w:rPr>
          <w:rFonts w:ascii="Times New Roman CYR" w:hAnsi="Times New Roman CYR" w:cs="Times New Roman CYR"/>
          <w:bCs/>
        </w:rPr>
        <w:t>нарушение подпункта «</w:t>
      </w:r>
      <w:r>
        <w:rPr>
          <w:rFonts w:ascii="Times New Roman CYR" w:hAnsi="Times New Roman CYR" w:cs="Times New Roman CYR"/>
          <w:bCs/>
        </w:rPr>
        <w:t>з</w:t>
      </w:r>
      <w:r w:rsidRPr="004E0DF2">
        <w:rPr>
          <w:rFonts w:ascii="Times New Roman CYR" w:hAnsi="Times New Roman CYR" w:cs="Times New Roman CYR"/>
          <w:bCs/>
        </w:rPr>
        <w:t xml:space="preserve">» пункта 6 Положения </w:t>
      </w:r>
      <w:r>
        <w:rPr>
          <w:rFonts w:ascii="Times New Roman CYR" w:hAnsi="Times New Roman CYR" w:cs="Times New Roman CYR"/>
          <w:bCs/>
        </w:rPr>
        <w:t xml:space="preserve">о лицензировании </w:t>
      </w:r>
      <w:r w:rsidRPr="004E0DF2">
        <w:rPr>
          <w:rFonts w:ascii="Times New Roman CYR" w:hAnsi="Times New Roman CYR" w:cs="Times New Roman CYR"/>
          <w:bCs/>
        </w:rPr>
        <w:t xml:space="preserve">в части </w:t>
      </w:r>
      <w:r w:rsidRPr="00706902">
        <w:rPr>
          <w:rFonts w:ascii="Times New Roman CYR" w:hAnsi="Times New Roman CYR" w:cs="Times New Roman CYR"/>
          <w:bCs/>
        </w:rPr>
        <w:t>наличи</w:t>
      </w:r>
      <w:r>
        <w:rPr>
          <w:rFonts w:ascii="Times New Roman CYR" w:hAnsi="Times New Roman CYR" w:cs="Times New Roman CYR"/>
          <w:bCs/>
        </w:rPr>
        <w:t>я</w:t>
      </w:r>
      <w:r w:rsidRPr="00706902">
        <w:rPr>
          <w:rFonts w:ascii="Times New Roman CYR" w:hAnsi="Times New Roman CYR" w:cs="Times New Roman CYR"/>
          <w:bCs/>
        </w:rPr>
        <w:t xml:space="preserve"> </w:t>
      </w:r>
      <w:r w:rsidRPr="00FC3056">
        <w:rPr>
          <w:rFonts w:ascii="Times New Roman CYR" w:hAnsi="Times New Roman CYR" w:cs="Times New Roman CYR"/>
          <w:bCs/>
        </w:rPr>
        <w:t>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</w:t>
      </w:r>
      <w:proofErr w:type="gramEnd"/>
      <w:r w:rsidRPr="00FC3056">
        <w:rPr>
          <w:rFonts w:ascii="Times New Roman CYR" w:hAnsi="Times New Roman CYR" w:cs="Times New Roman CYR"/>
          <w:bCs/>
        </w:rPr>
        <w:t xml:space="preserve"> 6 статьи 28 </w:t>
      </w:r>
      <w:r w:rsidRPr="004E0DF2">
        <w:rPr>
          <w:rFonts w:ascii="Times New Roman CYR" w:hAnsi="Times New Roman CYR" w:cs="Times New Roman CYR"/>
          <w:bCs/>
        </w:rPr>
        <w:t>Федерального</w:t>
      </w:r>
      <w:r>
        <w:rPr>
          <w:rFonts w:ascii="Times New Roman CYR" w:hAnsi="Times New Roman CYR" w:cs="Times New Roman CYR"/>
          <w:bCs/>
        </w:rPr>
        <w:t xml:space="preserve"> </w:t>
      </w:r>
      <w:r w:rsidRPr="004E0DF2">
        <w:rPr>
          <w:rFonts w:ascii="Times New Roman CYR" w:hAnsi="Times New Roman CYR" w:cs="Times New Roman CYR"/>
          <w:bCs/>
        </w:rPr>
        <w:t>закона № 273-ФЗ</w:t>
      </w:r>
      <w:r>
        <w:rPr>
          <w:rFonts w:ascii="Times New Roman CYR" w:hAnsi="Times New Roman CYR" w:cs="Times New Roman CYR"/>
          <w:bCs/>
        </w:rPr>
        <w:t>;</w:t>
      </w:r>
    </w:p>
    <w:p w:rsidR="00B94327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</w:rPr>
      </w:pPr>
      <w:proofErr w:type="gramStart"/>
      <w:r w:rsidRPr="004E0DF2">
        <w:rPr>
          <w:rFonts w:ascii="Times New Roman CYR" w:hAnsi="Times New Roman CYR" w:cs="Times New Roman CYR"/>
          <w:bCs/>
        </w:rPr>
        <w:t xml:space="preserve">нарушение подпункта «е» пункта 7 Положения о лицензировании в части наличия </w:t>
      </w:r>
      <w:r w:rsidRPr="007D05B7">
        <w:rPr>
          <w:rFonts w:ascii="Times New Roman CYR" w:hAnsi="Times New Roman CYR" w:cs="Times New Roman CYR"/>
          <w:bCs/>
        </w:rPr>
        <w:t>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частью 1 статьи 16, частью 1 статьи 20</w:t>
      </w:r>
      <w:proofErr w:type="gramEnd"/>
      <w:r w:rsidRPr="007D05B7">
        <w:rPr>
          <w:rFonts w:ascii="Times New Roman CYR" w:hAnsi="Times New Roman CYR" w:cs="Times New Roman CYR"/>
          <w:bCs/>
        </w:rPr>
        <w:t xml:space="preserve"> Федерального закона </w:t>
      </w:r>
      <w:r>
        <w:rPr>
          <w:rFonts w:ascii="Times New Roman CYR" w:hAnsi="Times New Roman CYR" w:cs="Times New Roman CYR"/>
          <w:bCs/>
        </w:rPr>
        <w:t>«</w:t>
      </w:r>
      <w:r w:rsidRPr="007D05B7">
        <w:rPr>
          <w:rFonts w:ascii="Times New Roman CYR" w:hAnsi="Times New Roman CYR" w:cs="Times New Roman CYR"/>
          <w:bCs/>
        </w:rPr>
        <w:t>О безопасности дорожного движения</w:t>
      </w:r>
      <w:r>
        <w:rPr>
          <w:rFonts w:ascii="Times New Roman CYR" w:hAnsi="Times New Roman CYR" w:cs="Times New Roman CYR"/>
          <w:bCs/>
        </w:rPr>
        <w:t>»</w:t>
      </w:r>
      <w:r w:rsidRPr="007D05B7">
        <w:rPr>
          <w:rFonts w:ascii="Times New Roman CYR" w:hAnsi="Times New Roman CYR" w:cs="Times New Roman CYR"/>
          <w:bCs/>
        </w:rPr>
        <w:t xml:space="preserve"> и Указом Президента Российской Федерации от 15 июня 1998 г. </w:t>
      </w:r>
      <w:r>
        <w:rPr>
          <w:rFonts w:ascii="Times New Roman CYR" w:hAnsi="Times New Roman CYR" w:cs="Times New Roman CYR"/>
          <w:bCs/>
        </w:rPr>
        <w:t>№</w:t>
      </w:r>
      <w:r w:rsidRPr="007D05B7">
        <w:rPr>
          <w:rFonts w:ascii="Times New Roman CYR" w:hAnsi="Times New Roman CYR" w:cs="Times New Roman CYR"/>
          <w:bCs/>
        </w:rPr>
        <w:t xml:space="preserve"> 711 </w:t>
      </w:r>
      <w:r>
        <w:rPr>
          <w:rFonts w:ascii="Times New Roman CYR" w:hAnsi="Times New Roman CYR" w:cs="Times New Roman CYR"/>
          <w:bCs/>
        </w:rPr>
        <w:t>«</w:t>
      </w:r>
      <w:r w:rsidRPr="007D05B7">
        <w:rPr>
          <w:rFonts w:ascii="Times New Roman CYR" w:hAnsi="Times New Roman CYR" w:cs="Times New Roman CYR"/>
          <w:bCs/>
        </w:rPr>
        <w:t>О дополнительных мерах по обеспечению безопасности дорожного движения</w:t>
      </w:r>
      <w:r>
        <w:rPr>
          <w:rFonts w:ascii="Times New Roman CYR" w:hAnsi="Times New Roman CYR" w:cs="Times New Roman CYR"/>
          <w:bCs/>
        </w:rPr>
        <w:t>»</w:t>
      </w:r>
      <w:r w:rsidRPr="004E0DF2">
        <w:rPr>
          <w:rFonts w:ascii="Times New Roman CYR" w:hAnsi="Times New Roman CYR" w:cs="Times New Roman CYR"/>
          <w:bCs/>
        </w:rPr>
        <w:t>.</w:t>
      </w:r>
    </w:p>
    <w:p w:rsidR="00B94327" w:rsidRPr="004E0DF2" w:rsidRDefault="00B94327" w:rsidP="00B9432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E0DF2">
        <w:t>невыполнение в установленный срок предписания об устранении нарушений законодательства (статья 19.5 КоАП).</w:t>
      </w:r>
    </w:p>
    <w:p w:rsidR="00B94327" w:rsidRDefault="00B9432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0773F">
        <w:t xml:space="preserve">79 </w:t>
      </w:r>
      <w:r w:rsidRPr="0030773F">
        <w:rPr>
          <w:rFonts w:ascii="Times New Roman CYR" w:hAnsi="Times New Roman CYR" w:cs="Times New Roman CYR"/>
        </w:rPr>
        <w:t>лицензирующими органами субъектов Российской Федерации (92,9% от общего числа субъектов Российской Федерации) в 2017 году были выявлены нарушения, приведшие к назначению административных наказаний, приостановлению действия лицензии и аннулированию лицензии.</w:t>
      </w:r>
    </w:p>
    <w:p w:rsidR="00EE4DB7" w:rsidRDefault="00EE4DB7" w:rsidP="00B9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60712D" w:rsidRPr="00752145" w:rsidRDefault="0060712D" w:rsidP="00200886">
      <w:pPr>
        <w:spacing w:before="200" w:line="240" w:lineRule="auto"/>
        <w:ind w:firstLine="709"/>
        <w:jc w:val="both"/>
        <w:outlineLvl w:val="1"/>
        <w:rPr>
          <w:b/>
        </w:rPr>
      </w:pPr>
      <w:proofErr w:type="gramStart"/>
      <w:r w:rsidRPr="00752145">
        <w:rPr>
          <w:b/>
        </w:rPr>
        <w:t xml:space="preserve">г) </w:t>
      </w:r>
      <w:r w:rsidRPr="00B6772D">
        <w:rPr>
          <w:b/>
        </w:rPr>
        <w:t>анализ и оценка</w:t>
      </w:r>
      <w:r w:rsidRPr="00752145">
        <w:rPr>
          <w:b/>
        </w:rPr>
        <w:t xml:space="preserve">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</w:t>
      </w:r>
      <w:r w:rsidRPr="00752145">
        <w:rPr>
          <w:b/>
        </w:rPr>
        <w:lastRenderedPageBreak/>
        <w:t>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  <w:bookmarkEnd w:id="36"/>
      <w:bookmarkEnd w:id="37"/>
      <w:proofErr w:type="gramEnd"/>
    </w:p>
    <w:p w:rsidR="006F2BAD" w:rsidRPr="00197732" w:rsidRDefault="00EE4DB7" w:rsidP="0019773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97732">
        <w:t>В</w:t>
      </w:r>
      <w:r w:rsidR="003107C1" w:rsidRPr="00197732">
        <w:t xml:space="preserve"> 2017 году зафиксировано 9</w:t>
      </w:r>
      <w:r w:rsidRPr="00197732">
        <w:t xml:space="preserve"> случаев причинения вреда жизни и здоровью граждан, произошедших по причине нарушения лицензионных требований </w:t>
      </w:r>
      <w:r w:rsidR="006F2BAD" w:rsidRPr="00197732">
        <w:t>(7 случаев в Белгородской области и по 1 случаю в Нижегородской и Омской областях).</w:t>
      </w:r>
    </w:p>
    <w:p w:rsidR="00AE7674" w:rsidRPr="00267576" w:rsidRDefault="00AE7674" w:rsidP="0019773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Белгородской области 5 случаев зафиксировано в</w:t>
      </w:r>
      <w:r w:rsidRPr="00267576">
        <w:t xml:space="preserve"> общеобразовательны</w:t>
      </w:r>
      <w:r>
        <w:t>х</w:t>
      </w:r>
      <w:r w:rsidRPr="00267576">
        <w:t xml:space="preserve"> </w:t>
      </w:r>
      <w:r>
        <w:t>организациях</w:t>
      </w:r>
      <w:r w:rsidRPr="00267576">
        <w:t xml:space="preserve"> во время проведения уроков по учебному предмету «Физическая к</w:t>
      </w:r>
      <w:r w:rsidR="007C4382">
        <w:t>ультура»</w:t>
      </w:r>
      <w:r w:rsidRPr="00267576">
        <w:t>, 1</w:t>
      </w:r>
      <w:r>
        <w:t xml:space="preserve"> случай </w:t>
      </w:r>
      <w:r w:rsidRPr="00267576">
        <w:t xml:space="preserve">во время проведения занятия </w:t>
      </w:r>
      <w:r>
        <w:t xml:space="preserve">организацией дополнительного образования и 1 случай </w:t>
      </w:r>
      <w:r w:rsidRPr="00267576">
        <w:t xml:space="preserve">при организации питания обучающихся. В отношении образовательных организаций проведены внеплановые выездные (согласованные с прокуратурой) и документарная проверки, по </w:t>
      </w:r>
      <w:proofErr w:type="gramStart"/>
      <w:r w:rsidRPr="00267576">
        <w:t>итогам</w:t>
      </w:r>
      <w:proofErr w:type="gramEnd"/>
      <w:r w:rsidRPr="00267576">
        <w:t xml:space="preserve"> проведения которых направлены обязательные для исполнения предписания, составлены протоколы об административных правонарушениях в отношении должностных и юридических лиц, направлены 11 информационных писем учредителям организаций, осуществляющих образовательную деятельность, руководителям органов местного самоуправления, осуществляющих управление в сфере образования, по обеспечению недопущения нарушений в подведомственных образовательных организациях.</w:t>
      </w:r>
    </w:p>
    <w:p w:rsidR="007C4382" w:rsidRPr="00207227" w:rsidRDefault="007C4382" w:rsidP="009B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 xml:space="preserve">В Нижегородской области зафиксирован 1 случай причинения вреда </w:t>
      </w:r>
      <w:r w:rsidRPr="00507269">
        <w:t>здоровью обучающе</w:t>
      </w:r>
      <w:r>
        <w:t xml:space="preserve">гося </w:t>
      </w:r>
      <w:r w:rsidRPr="00507269">
        <w:t xml:space="preserve">общеобразовательной организации, выразившееся в получении травмы во время проведения урока по учебному предмету </w:t>
      </w:r>
      <w:r>
        <w:t>«Ф</w:t>
      </w:r>
      <w:r w:rsidRPr="00507269">
        <w:t>изическая культура</w:t>
      </w:r>
      <w:r>
        <w:t>»</w:t>
      </w:r>
      <w:r w:rsidRPr="00507269">
        <w:t>, проводившегося на спортивной площадке не по адресу указанному в лицензии общеобразовательно</w:t>
      </w:r>
      <w:r>
        <w:t>й</w:t>
      </w:r>
      <w:r w:rsidRPr="00507269">
        <w:t xml:space="preserve"> </w:t>
      </w:r>
      <w:r>
        <w:t>организации.</w:t>
      </w:r>
      <w:proofErr w:type="gramEnd"/>
      <w:r>
        <w:t xml:space="preserve"> П</w:t>
      </w:r>
      <w:r w:rsidRPr="00507269">
        <w:t xml:space="preserve">ри реализации программы по </w:t>
      </w:r>
      <w:r>
        <w:t xml:space="preserve">учебному </w:t>
      </w:r>
      <w:r w:rsidRPr="00507269">
        <w:t xml:space="preserve">предмету </w:t>
      </w:r>
      <w:r>
        <w:t>«Ф</w:t>
      </w:r>
      <w:r w:rsidRPr="00507269">
        <w:t>изическая культура</w:t>
      </w:r>
      <w:r>
        <w:t>»</w:t>
      </w:r>
      <w:r w:rsidRPr="00507269">
        <w:t xml:space="preserve"> в 9 классе безопасные условия не были созданы вследствие проведения урока на спортивной площадке, </w:t>
      </w:r>
      <w:r w:rsidRPr="00207227">
        <w:t xml:space="preserve">принадлежащей спортивному клубу, а не школе. </w:t>
      </w:r>
      <w:proofErr w:type="gramStart"/>
      <w:r w:rsidRPr="00207227">
        <w:t>Отсутствие у школы права собственности или иного законного основания для использования сооружений и территорий (включая объекты физической культуры и спорта) спортивного клуба, использовавшихся школой для осуществления образовательной деятельности по учебному предмету «Физическая культура» в 9 классе в период с 1 по 15 сентября 2017</w:t>
      </w:r>
      <w:r w:rsidR="00C23695" w:rsidRPr="00207227">
        <w:t>/</w:t>
      </w:r>
      <w:r w:rsidRPr="00207227">
        <w:t>18 учебного года, ввиду отсутствия на законном основании у школы сооружений и территорий спортивного клуба и</w:t>
      </w:r>
      <w:proofErr w:type="gramEnd"/>
      <w:r w:rsidRPr="00207227">
        <w:t>, как следствие, отсутствия адреса места нахождения спортивного клуба в лицензии школы,  выразилось в проведении учебных занятий по физической культуре не по месту нахождения школы, то есть не по адресу, указанному в лицензии) – п</w:t>
      </w:r>
      <w:r w:rsidR="00C23695" w:rsidRPr="00207227">
        <w:t>одпунктов</w:t>
      </w:r>
      <w:r w:rsidRPr="00207227">
        <w:t xml:space="preserve"> </w:t>
      </w:r>
      <w:r w:rsidRPr="00207227">
        <w:rPr>
          <w:rFonts w:ascii="Times New Roman CYR" w:hAnsi="Times New Roman CYR" w:cs="Times New Roman CYR"/>
        </w:rPr>
        <w:t>«а», «з» пункта 6 Положения о лицензировании.</w:t>
      </w:r>
    </w:p>
    <w:p w:rsidR="007C4382" w:rsidRPr="00267576" w:rsidRDefault="007C4382" w:rsidP="009B577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07227">
        <w:rPr>
          <w:rFonts w:ascii="Times New Roman CYR" w:hAnsi="Times New Roman CYR" w:cs="Times New Roman CYR"/>
        </w:rPr>
        <w:lastRenderedPageBreak/>
        <w:t>В Омской области в ходе внеплановой выездной проверки, проведенной по поступившей в Министерство образования Омской области информации от</w:t>
      </w:r>
      <w:r w:rsidRPr="00207227">
        <w:t xml:space="preserve"> органа местного самоуправления</w:t>
      </w:r>
      <w:r w:rsidRPr="00267576">
        <w:t xml:space="preserve"> о факте грубых нарушений лицензиатом лицензионных требований, выявлен 1 случай причинения вреда жизни и здоровью граждан.</w:t>
      </w:r>
      <w:proofErr w:type="gramEnd"/>
      <w:r w:rsidRPr="00267576">
        <w:t xml:space="preserve"> Лицензиату выдано предписание об устранении нарушений, составлен протокол об административном правонарушении. На проведенном совещании с руководителями и специалистами органов управления образованием рассматривался вопрос о недопустимости подобного рода нарушений. </w:t>
      </w:r>
    </w:p>
    <w:p w:rsidR="003107C1" w:rsidRDefault="003107C1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Случаев причинения вреда </w:t>
      </w:r>
      <w:r w:rsidR="0060712D" w:rsidRPr="00752145">
        <w:rPr>
          <w:rFonts w:ascii="Times New Roman CYR" w:hAnsi="Times New Roman CYR" w:cs="Times New Roman CYR"/>
        </w:rPr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</w:t>
      </w:r>
      <w:r>
        <w:rPr>
          <w:rFonts w:ascii="Times New Roman CYR" w:hAnsi="Times New Roman CYR" w:cs="Times New Roman CYR"/>
        </w:rPr>
        <w:t xml:space="preserve">итуаций техногенного характера не выявлено. </w:t>
      </w:r>
    </w:p>
    <w:p w:rsidR="0060712D" w:rsidRPr="00FB0B44" w:rsidRDefault="003107C1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</w:t>
      </w:r>
      <w:r w:rsidR="0060712D" w:rsidRPr="00752145">
        <w:rPr>
          <w:rFonts w:ascii="Times New Roman CYR" w:hAnsi="Times New Roman CYR" w:cs="Times New Roman CYR"/>
        </w:rPr>
        <w:t xml:space="preserve"> 201</w:t>
      </w:r>
      <w:r w:rsidR="00752145">
        <w:rPr>
          <w:rFonts w:ascii="Times New Roman CYR" w:hAnsi="Times New Roman CYR" w:cs="Times New Roman CYR"/>
        </w:rPr>
        <w:t>6</w:t>
      </w:r>
      <w:r w:rsidR="0060712D" w:rsidRPr="00752145">
        <w:rPr>
          <w:rFonts w:ascii="Times New Roman CYR" w:hAnsi="Times New Roman CYR" w:cs="Times New Roman CYR"/>
        </w:rPr>
        <w:t xml:space="preserve"> </w:t>
      </w:r>
      <w:r w:rsidR="00B41266">
        <w:rPr>
          <w:rFonts w:ascii="Times New Roman CYR" w:hAnsi="Times New Roman CYR" w:cs="Times New Roman CYR"/>
        </w:rPr>
        <w:t>году</w:t>
      </w:r>
      <w:r w:rsidR="0060712D" w:rsidRPr="007521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случаев причинения лицензиатами вышеупомянутых видов уще</w:t>
      </w:r>
      <w:r w:rsidR="006F2BAD">
        <w:rPr>
          <w:rFonts w:ascii="Times New Roman CYR" w:hAnsi="Times New Roman CYR" w:cs="Times New Roman CYR"/>
        </w:rPr>
        <w:t>рб</w:t>
      </w:r>
      <w:r>
        <w:rPr>
          <w:rFonts w:ascii="Times New Roman CYR" w:hAnsi="Times New Roman CYR" w:cs="Times New Roman CYR"/>
        </w:rPr>
        <w:t xml:space="preserve">а </w:t>
      </w:r>
      <w:r w:rsidR="0060712D" w:rsidRPr="00752145">
        <w:rPr>
          <w:rFonts w:ascii="Times New Roman CYR" w:hAnsi="Times New Roman CYR" w:cs="Times New Roman CYR"/>
        </w:rPr>
        <w:t xml:space="preserve">выявлено не было. </w:t>
      </w:r>
    </w:p>
    <w:p w:rsidR="0060712D" w:rsidRPr="00FB0B44" w:rsidRDefault="0060712D" w:rsidP="00200886">
      <w:pPr>
        <w:spacing w:before="200" w:line="240" w:lineRule="auto"/>
        <w:ind w:firstLine="709"/>
        <w:jc w:val="both"/>
        <w:outlineLvl w:val="1"/>
        <w:rPr>
          <w:b/>
        </w:rPr>
      </w:pPr>
      <w:bookmarkStart w:id="38" w:name="_Toc475535826"/>
      <w:proofErr w:type="gramStart"/>
      <w:r w:rsidRPr="007200DE">
        <w:rPr>
          <w:b/>
        </w:rPr>
        <w:t>д) анализ и оценка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  <w:bookmarkEnd w:id="38"/>
      <w:r w:rsidRPr="00FB0B44">
        <w:rPr>
          <w:b/>
        </w:rPr>
        <w:t xml:space="preserve"> </w:t>
      </w:r>
      <w:proofErr w:type="gramEnd"/>
    </w:p>
    <w:p w:rsidR="00147C1C" w:rsidRPr="00FB0B44" w:rsidRDefault="0060712D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>Лицензирующими органами субъектов Российской Федерации осуществлялся мониторинг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 при осуществлении образовательной деятельности</w:t>
      </w:r>
      <w:r w:rsidR="00147C1C" w:rsidRPr="00FB0B44">
        <w:rPr>
          <w:rFonts w:ascii="Times New Roman CYR" w:hAnsi="Times New Roman CYR" w:cs="Times New Roman CYR"/>
        </w:rPr>
        <w:t xml:space="preserve">. </w:t>
      </w:r>
    </w:p>
    <w:p w:rsidR="00147C1C" w:rsidRPr="00FB0B44" w:rsidRDefault="00147C1C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>Источниками информации выступали:</w:t>
      </w:r>
    </w:p>
    <w:p w:rsidR="0060712D" w:rsidRPr="00FB0B44" w:rsidRDefault="00147C1C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>данные</w:t>
      </w:r>
      <w:r w:rsidR="0060712D" w:rsidRPr="00FB0B44">
        <w:rPr>
          <w:rFonts w:ascii="Times New Roman CYR" w:hAnsi="Times New Roman CYR" w:cs="Times New Roman CYR"/>
        </w:rPr>
        <w:t xml:space="preserve"> орган</w:t>
      </w:r>
      <w:r w:rsidRPr="00FB0B44">
        <w:rPr>
          <w:rFonts w:ascii="Times New Roman CYR" w:hAnsi="Times New Roman CYR" w:cs="Times New Roman CYR"/>
        </w:rPr>
        <w:t>ов</w:t>
      </w:r>
      <w:r w:rsidR="0060712D" w:rsidRPr="00FB0B44">
        <w:rPr>
          <w:rFonts w:ascii="Times New Roman CYR" w:hAnsi="Times New Roman CYR" w:cs="Times New Roman CYR"/>
        </w:rPr>
        <w:t xml:space="preserve"> исполнительной власти, орган</w:t>
      </w:r>
      <w:r w:rsidRPr="00FB0B44">
        <w:rPr>
          <w:rFonts w:ascii="Times New Roman CYR" w:hAnsi="Times New Roman CYR" w:cs="Times New Roman CYR"/>
        </w:rPr>
        <w:t>ов</w:t>
      </w:r>
      <w:r w:rsidR="0060712D" w:rsidRPr="00FB0B44">
        <w:rPr>
          <w:rFonts w:ascii="Times New Roman CYR" w:hAnsi="Times New Roman CYR" w:cs="Times New Roman CYR"/>
        </w:rPr>
        <w:t xml:space="preserve"> местного самоуправления, орган</w:t>
      </w:r>
      <w:r w:rsidRPr="00FB0B44">
        <w:rPr>
          <w:rFonts w:ascii="Times New Roman CYR" w:hAnsi="Times New Roman CYR" w:cs="Times New Roman CYR"/>
        </w:rPr>
        <w:t>ов</w:t>
      </w:r>
      <w:r w:rsidR="0060712D" w:rsidRPr="00FB0B44">
        <w:rPr>
          <w:rFonts w:ascii="Times New Roman CYR" w:hAnsi="Times New Roman CYR" w:cs="Times New Roman CYR"/>
        </w:rPr>
        <w:t xml:space="preserve"> прокуратуры субъектов Российской Федерации;</w:t>
      </w:r>
    </w:p>
    <w:p w:rsidR="0060712D" w:rsidRPr="00FB0B44" w:rsidRDefault="00147C1C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 xml:space="preserve">данные </w:t>
      </w:r>
      <w:r w:rsidR="0060712D" w:rsidRPr="00FB0B44">
        <w:rPr>
          <w:rFonts w:ascii="Times New Roman CYR" w:hAnsi="Times New Roman CYR" w:cs="Times New Roman CYR"/>
        </w:rPr>
        <w:t>провер</w:t>
      </w:r>
      <w:r w:rsidRPr="00FB0B44">
        <w:rPr>
          <w:rFonts w:ascii="Times New Roman CYR" w:hAnsi="Times New Roman CYR" w:cs="Times New Roman CYR"/>
        </w:rPr>
        <w:t>ок</w:t>
      </w:r>
      <w:r w:rsidR="0060712D" w:rsidRPr="00FB0B44">
        <w:rPr>
          <w:rFonts w:ascii="Times New Roman CYR" w:hAnsi="Times New Roman CYR" w:cs="Times New Roman CYR"/>
        </w:rPr>
        <w:t xml:space="preserve">, проводимых </w:t>
      </w:r>
      <w:r w:rsidRPr="00FB0B44">
        <w:rPr>
          <w:rFonts w:ascii="Times New Roman CYR" w:hAnsi="Times New Roman CYR" w:cs="Times New Roman CYR"/>
        </w:rPr>
        <w:t xml:space="preserve">совместно работниками  лицензирующих органов в сфере образования  субъектов  Российской Федерации с </w:t>
      </w:r>
      <w:r w:rsidR="0060712D" w:rsidRPr="00FB0B44">
        <w:rPr>
          <w:rFonts w:ascii="Times New Roman CYR" w:hAnsi="Times New Roman CYR" w:cs="Times New Roman CYR"/>
        </w:rPr>
        <w:t>иными контрольно-надзорными органами;</w:t>
      </w:r>
    </w:p>
    <w:p w:rsidR="0060712D" w:rsidRPr="00FB0B44" w:rsidRDefault="0060712D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>региональны</w:t>
      </w:r>
      <w:r w:rsidR="00147C1C" w:rsidRPr="00FB0B44">
        <w:rPr>
          <w:rFonts w:ascii="Times New Roman CYR" w:hAnsi="Times New Roman CYR" w:cs="Times New Roman CYR"/>
        </w:rPr>
        <w:t>е</w:t>
      </w:r>
      <w:r w:rsidRPr="00FB0B44">
        <w:rPr>
          <w:rFonts w:ascii="Times New Roman CYR" w:hAnsi="Times New Roman CYR" w:cs="Times New Roman CYR"/>
        </w:rPr>
        <w:t xml:space="preserve"> СМИ;</w:t>
      </w:r>
    </w:p>
    <w:p w:rsidR="0060712D" w:rsidRPr="00FB0B44" w:rsidRDefault="0060712D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>официальны</w:t>
      </w:r>
      <w:r w:rsidR="00147C1C" w:rsidRPr="00FB0B44">
        <w:rPr>
          <w:rFonts w:ascii="Times New Roman CYR" w:hAnsi="Times New Roman CYR" w:cs="Times New Roman CYR"/>
        </w:rPr>
        <w:t>е</w:t>
      </w:r>
      <w:r w:rsidRPr="00FB0B44">
        <w:rPr>
          <w:rFonts w:ascii="Times New Roman CYR" w:hAnsi="Times New Roman CYR" w:cs="Times New Roman CYR"/>
        </w:rPr>
        <w:t xml:space="preserve"> сайт</w:t>
      </w:r>
      <w:r w:rsidR="00147C1C" w:rsidRPr="00FB0B44">
        <w:rPr>
          <w:rFonts w:ascii="Times New Roman CYR" w:hAnsi="Times New Roman CYR" w:cs="Times New Roman CYR"/>
        </w:rPr>
        <w:t>ы</w:t>
      </w:r>
      <w:r w:rsidRPr="00FB0B44">
        <w:rPr>
          <w:rFonts w:ascii="Times New Roman CYR" w:hAnsi="Times New Roman CYR" w:cs="Times New Roman CYR"/>
        </w:rPr>
        <w:t xml:space="preserve"> образовательных организаций в сети Интернет;</w:t>
      </w:r>
    </w:p>
    <w:p w:rsidR="0060712D" w:rsidRPr="00FB0B44" w:rsidRDefault="00147C1C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 xml:space="preserve">данные </w:t>
      </w:r>
      <w:r w:rsidR="0060712D" w:rsidRPr="00FB0B44">
        <w:rPr>
          <w:rFonts w:ascii="Times New Roman CYR" w:hAnsi="Times New Roman CYR" w:cs="Times New Roman CYR"/>
        </w:rPr>
        <w:t>мониторинг</w:t>
      </w:r>
      <w:r w:rsidRPr="00FB0B44">
        <w:rPr>
          <w:rFonts w:ascii="Times New Roman CYR" w:hAnsi="Times New Roman CYR" w:cs="Times New Roman CYR"/>
        </w:rPr>
        <w:t>а</w:t>
      </w:r>
      <w:r w:rsidR="0060712D" w:rsidRPr="00FB0B44">
        <w:rPr>
          <w:rFonts w:ascii="Times New Roman CYR" w:hAnsi="Times New Roman CYR" w:cs="Times New Roman CYR"/>
        </w:rPr>
        <w:t xml:space="preserve"> исполнения образовательными организациями  предписаний, выданных территориальными органами Роспотребнадзора и МЧС </w:t>
      </w:r>
      <w:r w:rsidR="0060712D" w:rsidRPr="00FB0B44">
        <w:rPr>
          <w:rFonts w:ascii="Times New Roman CYR" w:hAnsi="Times New Roman CYR" w:cs="Times New Roman CYR"/>
        </w:rPr>
        <w:lastRenderedPageBreak/>
        <w:t xml:space="preserve">России о соответствии санитарно-эпидемиологическим нормам и требованиям пожарной безопасности, в ходе осуществления лицензионного контроля; </w:t>
      </w:r>
    </w:p>
    <w:p w:rsidR="0060712D" w:rsidRPr="00FB0B44" w:rsidRDefault="00147C1C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>с</w:t>
      </w:r>
      <w:r w:rsidR="0060712D" w:rsidRPr="00FB0B44">
        <w:rPr>
          <w:rFonts w:ascii="Times New Roman CYR" w:hAnsi="Times New Roman CYR" w:cs="Times New Roman CYR"/>
        </w:rPr>
        <w:t>айт</w:t>
      </w:r>
      <w:r w:rsidRPr="00FB0B44">
        <w:rPr>
          <w:rFonts w:ascii="Times New Roman CYR" w:hAnsi="Times New Roman CYR" w:cs="Times New Roman CYR"/>
        </w:rPr>
        <w:t xml:space="preserve">ы </w:t>
      </w:r>
      <w:r w:rsidR="0060712D" w:rsidRPr="00FB0B44">
        <w:rPr>
          <w:rFonts w:ascii="Times New Roman CYR" w:hAnsi="Times New Roman CYR" w:cs="Times New Roman CYR"/>
        </w:rPr>
        <w:t>органов прокуратуры и судебных органов субъектов Российской Федерации в сети Интернет;</w:t>
      </w:r>
    </w:p>
    <w:p w:rsidR="0060712D" w:rsidRPr="00FB0B44" w:rsidRDefault="00664CA5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 xml:space="preserve">данные </w:t>
      </w:r>
      <w:r w:rsidR="0060712D" w:rsidRPr="00FB0B44">
        <w:rPr>
          <w:rFonts w:ascii="Times New Roman CYR" w:hAnsi="Times New Roman CYR" w:cs="Times New Roman CYR"/>
        </w:rPr>
        <w:t>опрос</w:t>
      </w:r>
      <w:r w:rsidRPr="00FB0B44">
        <w:rPr>
          <w:rFonts w:ascii="Times New Roman CYR" w:hAnsi="Times New Roman CYR" w:cs="Times New Roman CYR"/>
        </w:rPr>
        <w:t xml:space="preserve">ов </w:t>
      </w:r>
      <w:r w:rsidR="0060712D" w:rsidRPr="00FB0B44">
        <w:rPr>
          <w:rFonts w:ascii="Times New Roman CYR" w:hAnsi="Times New Roman CYR" w:cs="Times New Roman CYR"/>
        </w:rPr>
        <w:t>лицензиатов, населения по вопросам лицензирования через официальные сайты лицензирующих органов субъектов Российской Федерации;</w:t>
      </w:r>
    </w:p>
    <w:p w:rsidR="0060712D" w:rsidRPr="00FB0B44" w:rsidRDefault="00664CA5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 xml:space="preserve">информация, предоставленная </w:t>
      </w:r>
      <w:r w:rsidR="0060712D" w:rsidRPr="00FB0B44">
        <w:rPr>
          <w:rFonts w:ascii="Times New Roman CYR" w:hAnsi="Times New Roman CYR" w:cs="Times New Roman CYR"/>
        </w:rPr>
        <w:t xml:space="preserve"> </w:t>
      </w:r>
      <w:r w:rsidR="0060712D" w:rsidRPr="00FB0B44">
        <w:t>«</w:t>
      </w:r>
      <w:r w:rsidR="0060712D" w:rsidRPr="00FB0B44">
        <w:rPr>
          <w:rFonts w:ascii="Times New Roman CYR" w:hAnsi="Times New Roman CYR" w:cs="Times New Roman CYR"/>
        </w:rPr>
        <w:t>горячей лини</w:t>
      </w:r>
      <w:r w:rsidR="00675283" w:rsidRPr="00FB0B44">
        <w:rPr>
          <w:rFonts w:ascii="Times New Roman CYR" w:hAnsi="Times New Roman CYR" w:cs="Times New Roman CYR"/>
        </w:rPr>
        <w:t>ей</w:t>
      </w:r>
      <w:r w:rsidR="0060712D" w:rsidRPr="00FB0B44">
        <w:t xml:space="preserve">» </w:t>
      </w:r>
      <w:r w:rsidR="0060712D" w:rsidRPr="00FB0B44">
        <w:rPr>
          <w:rFonts w:ascii="Times New Roman CYR" w:hAnsi="Times New Roman CYR" w:cs="Times New Roman CYR"/>
        </w:rPr>
        <w:t>по вопросам контрольно-надзорной деятельности.</w:t>
      </w:r>
    </w:p>
    <w:p w:rsidR="0060712D" w:rsidRPr="00FB0B44" w:rsidRDefault="0060712D" w:rsidP="00200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 xml:space="preserve">В </w:t>
      </w:r>
      <w:r w:rsidR="007C779B">
        <w:rPr>
          <w:rFonts w:ascii="Times New Roman CYR" w:hAnsi="Times New Roman CYR" w:cs="Times New Roman CYR"/>
        </w:rPr>
        <w:t xml:space="preserve">большинстве </w:t>
      </w:r>
      <w:r w:rsidRPr="00FB0B44">
        <w:rPr>
          <w:rFonts w:ascii="Times New Roman CYR" w:hAnsi="Times New Roman CYR" w:cs="Times New Roman CYR"/>
        </w:rPr>
        <w:t xml:space="preserve">субъектов Российской Федерации также осуществлялась работа по анализу, прогнозированию </w:t>
      </w:r>
      <w:proofErr w:type="gramStart"/>
      <w:r w:rsidRPr="00FB0B44">
        <w:rPr>
          <w:rFonts w:ascii="Times New Roman CYR" w:hAnsi="Times New Roman CYR" w:cs="Times New Roman CYR"/>
        </w:rPr>
        <w:t>состояния исполнения требований законодательства Российской Федерации</w:t>
      </w:r>
      <w:proofErr w:type="gramEnd"/>
      <w:r w:rsidRPr="00FB0B44">
        <w:rPr>
          <w:rFonts w:ascii="Times New Roman CYR" w:hAnsi="Times New Roman CYR" w:cs="Times New Roman CYR"/>
        </w:rPr>
        <w:t xml:space="preserve"> и принятию профилактических мер с целью предупреждения правонарушений в деятельности организаций, </w:t>
      </w:r>
      <w:r w:rsidR="00CA4573">
        <w:rPr>
          <w:rFonts w:ascii="Times New Roman CYR" w:hAnsi="Times New Roman CYR" w:cs="Times New Roman CYR"/>
        </w:rPr>
        <w:t>осуществляющих</w:t>
      </w:r>
      <w:r w:rsidR="00CA4573" w:rsidRPr="00FB0B44">
        <w:rPr>
          <w:rFonts w:ascii="Times New Roman CYR" w:hAnsi="Times New Roman CYR" w:cs="Times New Roman CYR"/>
        </w:rPr>
        <w:t xml:space="preserve"> </w:t>
      </w:r>
      <w:r w:rsidRPr="00FB0B44">
        <w:rPr>
          <w:rFonts w:ascii="Times New Roman CYR" w:hAnsi="Times New Roman CYR" w:cs="Times New Roman CYR"/>
        </w:rPr>
        <w:t xml:space="preserve">образовательную деятельность. </w:t>
      </w:r>
    </w:p>
    <w:p w:rsidR="0060712D" w:rsidRDefault="0060712D" w:rsidP="002008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FB0B44">
        <w:rPr>
          <w:rFonts w:ascii="Times New Roman CYR" w:hAnsi="Times New Roman CYR" w:cs="Times New Roman CYR"/>
        </w:rPr>
        <w:t>С этой целью на официальных сайтах были размещены нормативные правовые акты, а также отчетные материалы, содержащие перечень наиболее типичных нарушений, выявляемых в ходе проведения проверок.</w:t>
      </w:r>
    </w:p>
    <w:p w:rsidR="00422188" w:rsidRPr="00BC18E3" w:rsidRDefault="00422188" w:rsidP="00200886">
      <w:pPr>
        <w:spacing w:before="200" w:line="240" w:lineRule="auto"/>
        <w:ind w:firstLine="709"/>
        <w:jc w:val="both"/>
        <w:outlineLvl w:val="1"/>
        <w:rPr>
          <w:b/>
        </w:rPr>
      </w:pPr>
      <w:bookmarkStart w:id="39" w:name="_Toc475535827"/>
      <w:r w:rsidRPr="00EE4DB7">
        <w:rPr>
          <w:b/>
        </w:rPr>
        <w:t xml:space="preserve">е) анализ и оценка сведений об оспаривании в суде оснований и результатов проведения лицензирующими органами мероприятий по </w:t>
      </w:r>
      <w:proofErr w:type="gramStart"/>
      <w:r w:rsidRPr="00EE4DB7">
        <w:rPr>
          <w:b/>
        </w:rPr>
        <w:t>контролю за</w:t>
      </w:r>
      <w:proofErr w:type="gramEnd"/>
      <w:r w:rsidRPr="00EE4DB7">
        <w:rPr>
          <w:b/>
        </w:rPr>
        <w:t xml:space="preserve"> деятельностью лицензиатов, сведений об оспаривании результатов рассмотрения заявлений лицензиатов (количество удовлетворенных судом исков, наиболее распространенные основания для удовлетворения обращений истцов, меры реагирования, принятые в отношении должностных лиц лицензирующих органов)</w:t>
      </w:r>
      <w:bookmarkEnd w:id="39"/>
    </w:p>
    <w:p w:rsidR="00422188" w:rsidRDefault="00422188" w:rsidP="0020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eastAsia="ru-RU"/>
        </w:rPr>
      </w:pPr>
      <w:r w:rsidRPr="00C86928">
        <w:t xml:space="preserve">В </w:t>
      </w:r>
      <w:r w:rsidR="00AB7B47">
        <w:t>201</w:t>
      </w:r>
      <w:r w:rsidR="00234ADC">
        <w:t>7</w:t>
      </w:r>
      <w:r w:rsidR="00AB7B47" w:rsidRPr="00C86928">
        <w:t xml:space="preserve"> </w:t>
      </w:r>
      <w:r w:rsidRPr="00C86928">
        <w:t>году случа</w:t>
      </w:r>
      <w:r w:rsidR="00234ADC">
        <w:t>и</w:t>
      </w:r>
      <w:r w:rsidRPr="00C86928">
        <w:t xml:space="preserve"> оспаривания </w:t>
      </w:r>
      <w:r w:rsidRPr="00C86928">
        <w:rPr>
          <w:bCs/>
          <w:lang w:eastAsia="ru-RU"/>
        </w:rPr>
        <w:t>в суде</w:t>
      </w:r>
      <w:r w:rsidRPr="00C86928">
        <w:rPr>
          <w:rFonts w:cs="Calibri"/>
          <w:lang w:eastAsia="ru-RU"/>
        </w:rPr>
        <w:t xml:space="preserve"> оснований и результатов проведения мероприятий по контролю за деятельностью лицензиатов, случа</w:t>
      </w:r>
      <w:r w:rsidR="00234ADC">
        <w:rPr>
          <w:rFonts w:cs="Calibri"/>
          <w:lang w:eastAsia="ru-RU"/>
        </w:rPr>
        <w:t>и</w:t>
      </w:r>
      <w:r w:rsidRPr="00C86928">
        <w:rPr>
          <w:rFonts w:cs="Calibri"/>
          <w:lang w:eastAsia="ru-RU"/>
        </w:rPr>
        <w:t xml:space="preserve"> </w:t>
      </w:r>
      <w:proofErr w:type="gramStart"/>
      <w:r w:rsidRPr="00C86928">
        <w:rPr>
          <w:rFonts w:cs="Calibri"/>
          <w:lang w:eastAsia="ru-RU"/>
        </w:rPr>
        <w:t>оспаривания результатов рассмотрения заявлений лицензиатов</w:t>
      </w:r>
      <w:proofErr w:type="gramEnd"/>
      <w:r w:rsidRPr="00C86928">
        <w:rPr>
          <w:rFonts w:cs="Calibri"/>
          <w:lang w:eastAsia="ru-RU"/>
        </w:rPr>
        <w:t xml:space="preserve">  зафиксирован</w:t>
      </w:r>
      <w:r w:rsidR="00234ADC">
        <w:rPr>
          <w:rFonts w:cs="Calibri"/>
          <w:lang w:eastAsia="ru-RU"/>
        </w:rPr>
        <w:t>ы в 5 субъектах Российской Федерации: Удмуртской Республике, г. Санкт-Петербурге, Кемеровской, Свердловской и Томской областях.</w:t>
      </w:r>
    </w:p>
    <w:p w:rsidR="00234ADC" w:rsidRDefault="00234ADC" w:rsidP="00234ADC">
      <w:pPr>
        <w:spacing w:after="0" w:line="240" w:lineRule="auto"/>
        <w:ind w:firstLine="709"/>
        <w:jc w:val="both"/>
        <w:rPr>
          <w:rFonts w:cs="Calibri"/>
          <w:lang w:eastAsia="ru-RU"/>
        </w:rPr>
      </w:pPr>
      <w:r w:rsidRPr="00234ADC">
        <w:rPr>
          <w:rFonts w:cs="Calibri"/>
          <w:lang w:eastAsia="ru-RU"/>
        </w:rPr>
        <w:t>В Удмуртской Республике результаты проведения мероприятий</w:t>
      </w:r>
      <w:r w:rsidRPr="00972C1A">
        <w:t xml:space="preserve"> </w:t>
      </w:r>
      <w:r w:rsidRPr="00234ADC">
        <w:rPr>
          <w:rFonts w:cs="Calibri"/>
          <w:lang w:eastAsia="ru-RU"/>
        </w:rPr>
        <w:t xml:space="preserve">лицензирующим органом по </w:t>
      </w:r>
      <w:proofErr w:type="gramStart"/>
      <w:r w:rsidRPr="00234ADC">
        <w:rPr>
          <w:rFonts w:cs="Calibri"/>
          <w:lang w:eastAsia="ru-RU"/>
        </w:rPr>
        <w:t>контролю за</w:t>
      </w:r>
      <w:proofErr w:type="gramEnd"/>
      <w:r w:rsidRPr="00234ADC">
        <w:rPr>
          <w:rFonts w:cs="Calibri"/>
          <w:lang w:eastAsia="ru-RU"/>
        </w:rPr>
        <w:t xml:space="preserve"> деятельностью</w:t>
      </w:r>
      <w:r w:rsidRPr="00972C1A">
        <w:t xml:space="preserve"> лицензиатов оспаривали</w:t>
      </w:r>
      <w:r>
        <w:t xml:space="preserve">сь в суде 2 юридическими лицами, поданные </w:t>
      </w:r>
      <w:r w:rsidRPr="00972C1A">
        <w:t xml:space="preserve">жалобы оставлены </w:t>
      </w:r>
      <w:r w:rsidRPr="00234ADC">
        <w:rPr>
          <w:rFonts w:cs="Calibri"/>
          <w:lang w:eastAsia="ru-RU"/>
        </w:rPr>
        <w:t xml:space="preserve">судами без удовлетворения. </w:t>
      </w:r>
    </w:p>
    <w:p w:rsidR="00234ADC" w:rsidRDefault="00234ADC" w:rsidP="00234ADC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  <w:lang w:eastAsia="ru-RU"/>
        </w:rPr>
        <w:t xml:space="preserve">В </w:t>
      </w:r>
      <w:r w:rsidRPr="00234ADC">
        <w:rPr>
          <w:rFonts w:cs="Calibri"/>
          <w:lang w:eastAsia="ru-RU"/>
        </w:rPr>
        <w:t>г. Санкт-Петербург</w:t>
      </w:r>
      <w:r>
        <w:rPr>
          <w:rFonts w:cs="Calibri"/>
          <w:lang w:eastAsia="ru-RU"/>
        </w:rPr>
        <w:t xml:space="preserve"> </w:t>
      </w:r>
      <w:r w:rsidRPr="00234ADC">
        <w:rPr>
          <w:rFonts w:cs="Calibri"/>
        </w:rPr>
        <w:t xml:space="preserve">федеральное государственное казенное общеобразовательное учреждение «Нахимовское военно-морское училище Министерства обороны Российской Федерации» (далее – Нахимовское училище) обратилось в Арбитражный суд СПб и ЛО с заявлением об оспаривании решения Комитета о возврате заявления и документов Нахимовского училища с целью переоформления лицензии филиалам, расположенным в городах Владивосток и Севастополь. Арбитражный суд СПб </w:t>
      </w:r>
      <w:r w:rsidRPr="00234ADC">
        <w:rPr>
          <w:rFonts w:cs="Calibri"/>
        </w:rPr>
        <w:lastRenderedPageBreak/>
        <w:t>и ЛО вынес решение от 25.07.2017 об отказе Нахимовскому училищу в удовлетворении заявления.</w:t>
      </w:r>
      <w:r>
        <w:rPr>
          <w:rFonts w:cs="Calibri"/>
        </w:rPr>
        <w:t xml:space="preserve"> </w:t>
      </w:r>
    </w:p>
    <w:p w:rsidR="00234ADC" w:rsidRDefault="00234ADC" w:rsidP="00234ADC">
      <w:pPr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rFonts w:cs="Calibri"/>
        </w:rPr>
        <w:t xml:space="preserve">В </w:t>
      </w:r>
      <w:r w:rsidRPr="00234ADC">
        <w:rPr>
          <w:rFonts w:cs="Calibri"/>
        </w:rPr>
        <w:t>Кемеровской области  в судебные органы были поданы 3 исковых</w:t>
      </w:r>
      <w:r w:rsidRPr="003B6655">
        <w:rPr>
          <w:color w:val="000000"/>
        </w:rPr>
        <w:t xml:space="preserve"> </w:t>
      </w:r>
      <w:r w:rsidRPr="00234ADC">
        <w:rPr>
          <w:rFonts w:cs="Calibri"/>
        </w:rPr>
        <w:t>заявления о </w:t>
      </w:r>
      <w:r>
        <w:rPr>
          <w:rFonts w:cs="Calibri"/>
        </w:rPr>
        <w:t xml:space="preserve"> </w:t>
      </w:r>
      <w:r w:rsidRPr="00234ADC">
        <w:rPr>
          <w:rFonts w:cs="Calibri"/>
        </w:rPr>
        <w:t>признании результатов проверок, проведенных</w:t>
      </w:r>
      <w:r w:rsidRPr="003B6655">
        <w:rPr>
          <w:color w:val="000000"/>
        </w:rPr>
        <w:t xml:space="preserve"> </w:t>
      </w:r>
      <w:proofErr w:type="spellStart"/>
      <w:r w:rsidRPr="003B6655">
        <w:rPr>
          <w:color w:val="000000"/>
        </w:rPr>
        <w:t>Кузбассобрнадзором</w:t>
      </w:r>
      <w:proofErr w:type="spellEnd"/>
      <w:r w:rsidRPr="003B6655">
        <w:rPr>
          <w:color w:val="000000"/>
        </w:rPr>
        <w:t xml:space="preserve"> в рамках осуществления лицензионного контроля, недействительными.</w:t>
      </w:r>
      <w:proofErr w:type="gramEnd"/>
      <w:r>
        <w:rPr>
          <w:color w:val="000000"/>
        </w:rPr>
        <w:t xml:space="preserve"> </w:t>
      </w:r>
      <w:r w:rsidRPr="003B6655">
        <w:rPr>
          <w:color w:val="000000"/>
        </w:rPr>
        <w:t xml:space="preserve">В одном случае рассмотрение дела было прекращено в связи с отказом заявителя от иска до принятия судебного акта, которым </w:t>
      </w:r>
      <w:r>
        <w:rPr>
          <w:color w:val="000000"/>
        </w:rPr>
        <w:t>заканчивается рассмотрение дела, д</w:t>
      </w:r>
      <w:r w:rsidRPr="003B6655">
        <w:rPr>
          <w:color w:val="000000"/>
        </w:rPr>
        <w:t>ва заявления по состоянию на конец года не были рассмотрены по существу.</w:t>
      </w:r>
    </w:p>
    <w:p w:rsidR="00234ADC" w:rsidRPr="00207227" w:rsidRDefault="00234ADC" w:rsidP="00234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Arial"/>
          <w:lang w:eastAsia="ru-RU"/>
        </w:rPr>
      </w:pPr>
      <w:r w:rsidRPr="00F50321">
        <w:rPr>
          <w:rFonts w:cs="Calibri"/>
        </w:rPr>
        <w:t>В Свердловской области частным профессиональным образовательным</w:t>
      </w:r>
      <w:r w:rsidRPr="00D27EFA">
        <w:rPr>
          <w:rFonts w:cs="Arial"/>
          <w:lang w:eastAsia="ru-RU"/>
        </w:rPr>
        <w:t xml:space="preserve"> учреждением «Уральский Финансово-Юридический колледж» (далее – ЧПОУ «УРФЮК») в связи с необоснованностью и недоказанностью, по мнению заявителя</w:t>
      </w:r>
      <w:r>
        <w:rPr>
          <w:rFonts w:cs="Arial"/>
          <w:lang w:eastAsia="ru-RU"/>
        </w:rPr>
        <w:t xml:space="preserve">, </w:t>
      </w:r>
      <w:r w:rsidRPr="00D27EFA">
        <w:rPr>
          <w:rFonts w:cs="Arial"/>
          <w:lang w:eastAsia="ru-RU"/>
        </w:rPr>
        <w:t xml:space="preserve"> указанных нарушений, в судебном порядке были оспорены результаты провед</w:t>
      </w:r>
      <w:r>
        <w:rPr>
          <w:rFonts w:cs="Arial"/>
          <w:lang w:eastAsia="ru-RU"/>
        </w:rPr>
        <w:t>е</w:t>
      </w:r>
      <w:r w:rsidRPr="00D27EFA">
        <w:rPr>
          <w:rFonts w:cs="Arial"/>
          <w:lang w:eastAsia="ru-RU"/>
        </w:rPr>
        <w:t xml:space="preserve">нной внеплановой проверки (акт проверки и предписание об устранении нарушений лицензионных требований и условий). Внеплановая проверка проведена в связи с поступившим обращением гражданина, содержащим факты грубых нарушений лицензионных требований, по согласованию </w:t>
      </w:r>
      <w:r w:rsidRPr="00207227">
        <w:rPr>
          <w:rFonts w:cs="Arial"/>
          <w:lang w:eastAsia="ru-RU"/>
        </w:rPr>
        <w:t>с прокуратурой Свердловской области. По результатам проверки ЧПОУ «УРФЮК» выдано предписание и составлен протокол по части 2 статьи 19.20 КоАП. В судебном заседании по рассмотрению искового заявления производство по делу было прекращено в связи с отказом лицензиата от заявленных исковых требований.</w:t>
      </w:r>
    </w:p>
    <w:p w:rsidR="00F50321" w:rsidRDefault="00F50321" w:rsidP="00F5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207227">
        <w:rPr>
          <w:rFonts w:cs="Calibri"/>
        </w:rPr>
        <w:t xml:space="preserve">В Томской области  отмечено 2 случая исков о признании </w:t>
      </w:r>
      <w:proofErr w:type="gramStart"/>
      <w:r w:rsidRPr="00207227">
        <w:rPr>
          <w:rFonts w:cs="Calibri"/>
        </w:rPr>
        <w:t>незаконными</w:t>
      </w:r>
      <w:proofErr w:type="gramEnd"/>
      <w:r w:rsidRPr="00207227">
        <w:t xml:space="preserve"> </w:t>
      </w:r>
      <w:r w:rsidRPr="00207227">
        <w:rPr>
          <w:rFonts w:cs="Calibri"/>
        </w:rPr>
        <w:t>предписаний</w:t>
      </w:r>
      <w:r>
        <w:t xml:space="preserve"> Комитета, выданных по результатам плановых проверок соблюдения лицензионных требований и условий двум лицензиатам. В отношении одного случая судом принято решение об отказе лицензиату в удовлетворении иска, в другом – процесс рассмотрения искового заявления в суде не завершен, решение не принято.</w:t>
      </w:r>
    </w:p>
    <w:p w:rsidR="00234ADC" w:rsidRDefault="00234ADC" w:rsidP="00234ADC">
      <w:pPr>
        <w:spacing w:after="0" w:line="240" w:lineRule="auto"/>
        <w:ind w:firstLine="709"/>
        <w:jc w:val="both"/>
        <w:rPr>
          <w:color w:val="000000"/>
        </w:rPr>
      </w:pPr>
    </w:p>
    <w:p w:rsidR="00422188" w:rsidRPr="00585264" w:rsidRDefault="00422188" w:rsidP="008D4021">
      <w:pPr>
        <w:spacing w:before="120"/>
        <w:jc w:val="center"/>
        <w:outlineLvl w:val="0"/>
        <w:rPr>
          <w:b/>
        </w:rPr>
      </w:pPr>
      <w:bookmarkStart w:id="40" w:name="_Toc475535828"/>
      <w:r w:rsidRPr="00585264">
        <w:rPr>
          <w:b/>
        </w:rPr>
        <w:t>Раздел 5. Выводы и предложения по осуществлению лицензирования образовательной деятельности</w:t>
      </w:r>
      <w:bookmarkEnd w:id="40"/>
    </w:p>
    <w:p w:rsidR="00422188" w:rsidRPr="00585264" w:rsidRDefault="00422188" w:rsidP="004A02F3">
      <w:pPr>
        <w:spacing w:before="200" w:after="0" w:line="240" w:lineRule="auto"/>
        <w:ind w:firstLine="851"/>
        <w:jc w:val="both"/>
        <w:rPr>
          <w:rFonts w:ascii="Times New Roman CYR" w:hAnsi="Times New Roman CYR" w:cs="Times New Roman CYR"/>
        </w:rPr>
      </w:pPr>
      <w:r w:rsidRPr="00585264">
        <w:rPr>
          <w:rFonts w:ascii="Times New Roman CYR" w:hAnsi="Times New Roman CYR" w:cs="Times New Roman CYR"/>
        </w:rPr>
        <w:t>Проведенный обзор докладов лицензирующих органов субъектов Российской Федерации показал в целом их соответствие  требованиям, установленным постановлением Правительства Российской Федерации от 5 мая</w:t>
      </w:r>
      <w:r w:rsidR="00F734DE" w:rsidRPr="00585264">
        <w:rPr>
          <w:rFonts w:ascii="Times New Roman CYR" w:hAnsi="Times New Roman CYR" w:cs="Times New Roman CYR"/>
        </w:rPr>
        <w:t xml:space="preserve"> </w:t>
      </w:r>
      <w:r w:rsidRPr="00585264">
        <w:rPr>
          <w:rFonts w:ascii="Times New Roman CYR" w:hAnsi="Times New Roman CYR" w:cs="Times New Roman CYR"/>
        </w:rPr>
        <w:t>2012 г.</w:t>
      </w:r>
      <w:r w:rsidR="00F734DE" w:rsidRPr="00585264">
        <w:rPr>
          <w:rFonts w:ascii="Times New Roman CYR" w:hAnsi="Times New Roman CYR" w:cs="Times New Roman CYR"/>
        </w:rPr>
        <w:t xml:space="preserve"> </w:t>
      </w:r>
      <w:r w:rsidRPr="00585264">
        <w:rPr>
          <w:rFonts w:ascii="Times New Roman CYR" w:hAnsi="Times New Roman CYR" w:cs="Times New Roman CYR"/>
        </w:rPr>
        <w:t xml:space="preserve">№ 467 «О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проведения» в отношении полноты содержания и структуры.  </w:t>
      </w:r>
    </w:p>
    <w:p w:rsidR="00422188" w:rsidRPr="00585264" w:rsidRDefault="005728D2" w:rsidP="004A02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</w:rPr>
      </w:pPr>
      <w:proofErr w:type="gramStart"/>
      <w:r w:rsidRPr="00585264">
        <w:rPr>
          <w:lang w:eastAsia="ru-RU"/>
        </w:rPr>
        <w:t>Анализ докладов показал, что в</w:t>
      </w:r>
      <w:r w:rsidR="00422188" w:rsidRPr="00585264">
        <w:rPr>
          <w:lang w:eastAsia="ru-RU"/>
        </w:rPr>
        <w:t xml:space="preserve"> 201</w:t>
      </w:r>
      <w:r w:rsidR="00585264" w:rsidRPr="00585264">
        <w:rPr>
          <w:lang w:eastAsia="ru-RU"/>
        </w:rPr>
        <w:t>7</w:t>
      </w:r>
      <w:r w:rsidR="00F734DE" w:rsidRPr="00585264">
        <w:rPr>
          <w:lang w:eastAsia="ru-RU"/>
        </w:rPr>
        <w:t xml:space="preserve"> </w:t>
      </w:r>
      <w:r w:rsidR="00422188" w:rsidRPr="00585264">
        <w:rPr>
          <w:lang w:eastAsia="ru-RU"/>
        </w:rPr>
        <w:t xml:space="preserve">году лицензирующими органами субъектов Российской Федерации качественно предоставлялась </w:t>
      </w:r>
      <w:r w:rsidR="00422188" w:rsidRPr="00585264">
        <w:rPr>
          <w:lang w:eastAsia="ru-RU"/>
        </w:rPr>
        <w:lastRenderedPageBreak/>
        <w:t xml:space="preserve">государственная услуга по лицензированию образовательной деятельности и  реализовывалась государственная функция по осуществлению лицензионного контроля в </w:t>
      </w:r>
      <w:r w:rsidR="00422188" w:rsidRPr="00585264">
        <w:rPr>
          <w:rFonts w:ascii="Times New Roman CYR" w:hAnsi="Times New Roman CYR" w:cs="Times New Roman CYR"/>
        </w:rPr>
        <w:t xml:space="preserve">соответствии с установленными законодательством Российской Федерации требованиями. </w:t>
      </w:r>
      <w:proofErr w:type="gramEnd"/>
    </w:p>
    <w:p w:rsidR="00422188" w:rsidRPr="00BC18E3" w:rsidRDefault="00422188" w:rsidP="004A02F3">
      <w:pPr>
        <w:spacing w:after="0" w:line="240" w:lineRule="auto"/>
        <w:ind w:firstLine="709"/>
        <w:jc w:val="both"/>
        <w:rPr>
          <w:lang w:eastAsia="ru-RU"/>
        </w:rPr>
      </w:pPr>
      <w:r w:rsidRPr="00585264">
        <w:rPr>
          <w:rFonts w:eastAsia="Calibri"/>
        </w:rPr>
        <w:t xml:space="preserve">Административный регламент предоставления государственной услуги по лицензированию образовательной деятельности, </w:t>
      </w:r>
      <w:r w:rsidR="00BC18E3" w:rsidRPr="00585264">
        <w:rPr>
          <w:rFonts w:eastAsia="Calibri"/>
        </w:rPr>
        <w:t>принятый</w:t>
      </w:r>
      <w:r w:rsidRPr="00585264">
        <w:rPr>
          <w:rFonts w:eastAsia="Calibri"/>
        </w:rPr>
        <w:t xml:space="preserve"> на уровне Российской Федерации в </w:t>
      </w:r>
      <w:r w:rsidR="00AE659F" w:rsidRPr="00585264">
        <w:rPr>
          <w:rFonts w:eastAsia="Calibri"/>
        </w:rPr>
        <w:t xml:space="preserve">2015 </w:t>
      </w:r>
      <w:r w:rsidRPr="00585264">
        <w:rPr>
          <w:rFonts w:eastAsia="Calibri"/>
        </w:rPr>
        <w:t>году, упорядочил действия органов государственной власти субъектов Российской Федерации при предоставлении данной государственной услуги в целом</w:t>
      </w:r>
      <w:r w:rsidR="00BC18E3" w:rsidRPr="00585264">
        <w:rPr>
          <w:rFonts w:eastAsia="Calibri"/>
        </w:rPr>
        <w:t>,</w:t>
      </w:r>
      <w:r w:rsidRPr="00585264">
        <w:rPr>
          <w:rFonts w:eastAsia="Calibri"/>
        </w:rPr>
        <w:t xml:space="preserve"> и исключил возможность широкого толкования требований Федерального закона № 99-ФЗ в части лицензионного контроля.</w:t>
      </w:r>
      <w:r w:rsidRPr="00BC18E3">
        <w:rPr>
          <w:rFonts w:eastAsia="Calibri"/>
        </w:rPr>
        <w:t xml:space="preserve"> </w:t>
      </w:r>
    </w:p>
    <w:p w:rsidR="00585264" w:rsidRDefault="00585264" w:rsidP="004A02F3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1F23">
        <w:rPr>
          <w:lang w:eastAsia="ru-RU"/>
        </w:rPr>
        <w:t>Все заявления о предоставлении лицензии на осуществление образовательной деятельности рассмотрены в установленные законодательством Российской Федерации сроки</w:t>
      </w:r>
      <w:r>
        <w:rPr>
          <w:lang w:eastAsia="ru-RU"/>
        </w:rPr>
        <w:t>.</w:t>
      </w:r>
    </w:p>
    <w:p w:rsidR="00FE21C7" w:rsidRDefault="006F2BAD" w:rsidP="004A02F3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12,3</w:t>
      </w:r>
      <w:r w:rsidR="00FE21C7" w:rsidRPr="00FE21C7">
        <w:rPr>
          <w:lang w:eastAsia="ru-RU"/>
        </w:rPr>
        <w:t xml:space="preserve">% заявлений (обращений) о предоставлении, переоформлении, прекращении действия лицензии, о выдаче дубликата, копии лицензии, поступивших в лицензирующие органы субъектов Российской Федерации, представлены в электронной форме, что на </w:t>
      </w:r>
      <w:r>
        <w:rPr>
          <w:lang w:eastAsia="ru-RU"/>
        </w:rPr>
        <w:t>7,9</w:t>
      </w:r>
      <w:r w:rsidR="00FE21C7" w:rsidRPr="00FE21C7">
        <w:rPr>
          <w:lang w:eastAsia="ru-RU"/>
        </w:rPr>
        <w:t xml:space="preserve">% больше </w:t>
      </w:r>
      <w:r w:rsidR="006E1A7D">
        <w:rPr>
          <w:lang w:eastAsia="ru-RU"/>
        </w:rPr>
        <w:t xml:space="preserve">по сравнению </w:t>
      </w:r>
      <w:r w:rsidR="00C23695">
        <w:rPr>
          <w:lang w:eastAsia="ru-RU"/>
        </w:rPr>
        <w:br/>
      </w:r>
      <w:r w:rsidR="006E1A7D">
        <w:rPr>
          <w:lang w:eastAsia="ru-RU"/>
        </w:rPr>
        <w:t xml:space="preserve">с </w:t>
      </w:r>
      <w:r w:rsidR="006E1A7D" w:rsidRPr="00801555">
        <w:rPr>
          <w:lang w:eastAsia="ru-RU"/>
        </w:rPr>
        <w:t>201</w:t>
      </w:r>
      <w:r>
        <w:rPr>
          <w:lang w:eastAsia="ru-RU"/>
        </w:rPr>
        <w:t>6</w:t>
      </w:r>
      <w:r w:rsidR="006E1A7D" w:rsidRPr="00801555">
        <w:rPr>
          <w:lang w:eastAsia="ru-RU"/>
        </w:rPr>
        <w:t xml:space="preserve"> годом</w:t>
      </w:r>
      <w:r w:rsidR="00FE21C7" w:rsidRPr="00801555">
        <w:rPr>
          <w:lang w:eastAsia="ru-RU"/>
        </w:rPr>
        <w:t>.</w:t>
      </w:r>
    </w:p>
    <w:p w:rsidR="00585264" w:rsidRPr="0041014E" w:rsidRDefault="00FE21C7" w:rsidP="0058526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585264">
        <w:rPr>
          <w:lang w:eastAsia="ru-RU"/>
        </w:rPr>
        <w:t xml:space="preserve">Дальнейшее развитие получило межведомственное взаимодействие как при предоставлении государственной услуги по лицензированию образовательной деятельности, так и при осуществлении функции по лицензионному контролю, в том числе в электронном виде. В целом при межведомственном взаимодействии соблюдаются сроки, установленные Федеральным законом о предоставлении услуг. </w:t>
      </w:r>
      <w:r w:rsidR="00ED1166">
        <w:rPr>
          <w:rFonts w:ascii="Times New Roman CYR" w:hAnsi="Times New Roman CYR" w:cs="Times New Roman CYR"/>
        </w:rPr>
        <w:t>Только</w:t>
      </w:r>
      <w:r w:rsidR="00585264" w:rsidRPr="0041014E">
        <w:rPr>
          <w:rFonts w:ascii="Times New Roman CYR" w:hAnsi="Times New Roman CYR" w:cs="Times New Roman CYR"/>
        </w:rPr>
        <w:t xml:space="preserve">  в одном субъекте Российской Федерации получение ответов по запросам лицензирующих органов составляет в среднем</w:t>
      </w:r>
      <w:r w:rsidR="00585264">
        <w:rPr>
          <w:rFonts w:ascii="Times New Roman CYR" w:hAnsi="Times New Roman CYR" w:cs="Times New Roman CYR"/>
        </w:rPr>
        <w:t xml:space="preserve"> </w:t>
      </w:r>
      <w:r w:rsidR="00585264" w:rsidRPr="0041014E">
        <w:rPr>
          <w:rFonts w:ascii="Times New Roman CYR" w:hAnsi="Times New Roman CYR" w:cs="Times New Roman CYR"/>
        </w:rPr>
        <w:t>более 5 рабочих дней со дня поступления межведомственного запроса в орган или организацию, предоставляющие документ и информацию: в Псковской области средний срок ответа на межведомственный запрос составляет 6 дней.</w:t>
      </w:r>
    </w:p>
    <w:p w:rsidR="00422188" w:rsidRPr="007C779B" w:rsidRDefault="00B92A79" w:rsidP="004A02F3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Зафиксировано снижение </w:t>
      </w:r>
      <w:proofErr w:type="gramStart"/>
      <w:r>
        <w:rPr>
          <w:lang w:eastAsia="ru-RU"/>
        </w:rPr>
        <w:t>к</w:t>
      </w:r>
      <w:r w:rsidRPr="00B92A79">
        <w:rPr>
          <w:lang w:eastAsia="ru-RU"/>
        </w:rPr>
        <w:t>оличеств</w:t>
      </w:r>
      <w:r>
        <w:rPr>
          <w:lang w:eastAsia="ru-RU"/>
        </w:rPr>
        <w:t xml:space="preserve">а </w:t>
      </w:r>
      <w:r w:rsidRPr="00B92A79">
        <w:rPr>
          <w:lang w:eastAsia="ru-RU"/>
        </w:rPr>
        <w:t xml:space="preserve"> случаев</w:t>
      </w:r>
      <w:r>
        <w:rPr>
          <w:lang w:eastAsia="ru-RU"/>
        </w:rPr>
        <w:t xml:space="preserve"> </w:t>
      </w:r>
      <w:r w:rsidRPr="00B92A79">
        <w:rPr>
          <w:lang w:eastAsia="ru-RU"/>
        </w:rPr>
        <w:t xml:space="preserve"> приостановления действия лицензий</w:t>
      </w:r>
      <w:proofErr w:type="gramEnd"/>
      <w:r w:rsidRPr="00B92A79">
        <w:rPr>
          <w:lang w:eastAsia="ru-RU"/>
        </w:rPr>
        <w:t xml:space="preserve"> за нарушение лицензионных требований</w:t>
      </w:r>
      <w:r>
        <w:rPr>
          <w:lang w:eastAsia="ru-RU"/>
        </w:rPr>
        <w:t xml:space="preserve">: </w:t>
      </w:r>
      <w:r w:rsidRPr="00B92A79">
        <w:rPr>
          <w:lang w:eastAsia="ru-RU"/>
        </w:rPr>
        <w:t xml:space="preserve"> </w:t>
      </w:r>
      <w:r w:rsidR="006F2BAD">
        <w:rPr>
          <w:lang w:eastAsia="ru-RU"/>
        </w:rPr>
        <w:t xml:space="preserve">в 2017 году – 61, </w:t>
      </w:r>
      <w:r w:rsidR="00C23695">
        <w:rPr>
          <w:lang w:eastAsia="ru-RU"/>
        </w:rPr>
        <w:br/>
      </w:r>
      <w:r w:rsidRPr="00B92A79">
        <w:rPr>
          <w:lang w:eastAsia="ru-RU"/>
        </w:rPr>
        <w:t xml:space="preserve">в 2016 году </w:t>
      </w:r>
      <w:r w:rsidR="00B41266">
        <w:rPr>
          <w:lang w:eastAsia="ru-RU"/>
        </w:rPr>
        <w:t>– 83</w:t>
      </w:r>
      <w:r>
        <w:rPr>
          <w:lang w:eastAsia="ru-RU"/>
        </w:rPr>
        <w:t xml:space="preserve">. </w:t>
      </w:r>
      <w:r w:rsidR="00B43DC7" w:rsidRPr="007C779B">
        <w:t xml:space="preserve">Это </w:t>
      </w:r>
      <w:r w:rsidR="00422188" w:rsidRPr="007C779B">
        <w:rPr>
          <w:lang w:eastAsia="ru-RU"/>
        </w:rPr>
        <w:t xml:space="preserve"> свидетельствует о повышении качества разъяснительной работы по предотвращению нарушений лицензионных требований с одновременной тенденцией </w:t>
      </w:r>
      <w:r w:rsidR="00B43DC7" w:rsidRPr="007C779B">
        <w:rPr>
          <w:lang w:eastAsia="ru-RU"/>
        </w:rPr>
        <w:t xml:space="preserve"> понимания лицензиатами </w:t>
      </w:r>
      <w:r w:rsidR="00422188" w:rsidRPr="007C779B">
        <w:rPr>
          <w:lang w:eastAsia="ru-RU"/>
        </w:rPr>
        <w:t xml:space="preserve">неотвратимости наказания </w:t>
      </w:r>
      <w:r w:rsidR="00B43DC7" w:rsidRPr="007C779B">
        <w:rPr>
          <w:lang w:eastAsia="ru-RU"/>
        </w:rPr>
        <w:t xml:space="preserve"> </w:t>
      </w:r>
      <w:r w:rsidR="00422188" w:rsidRPr="007C779B">
        <w:rPr>
          <w:lang w:eastAsia="ru-RU"/>
        </w:rPr>
        <w:t>в случае выявления грубых нарушений</w:t>
      </w:r>
      <w:r w:rsidR="00B43DC7" w:rsidRPr="007C779B">
        <w:rPr>
          <w:lang w:eastAsia="ru-RU"/>
        </w:rPr>
        <w:t xml:space="preserve"> и неи</w:t>
      </w:r>
      <w:r w:rsidR="00422188" w:rsidRPr="007C779B">
        <w:rPr>
          <w:lang w:eastAsia="ru-RU"/>
        </w:rPr>
        <w:t>сполнения предписаний после истечения срока, установленного в них.</w:t>
      </w:r>
    </w:p>
    <w:p w:rsidR="006339D0" w:rsidRDefault="00AE525D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E525D">
        <w:rPr>
          <w:lang w:eastAsia="ru-RU"/>
        </w:rPr>
        <w:t>Снизилась</w:t>
      </w:r>
      <w:r w:rsidR="006339D0" w:rsidRPr="00AE525D">
        <w:rPr>
          <w:lang w:eastAsia="ru-RU"/>
        </w:rPr>
        <w:t xml:space="preserve"> дол</w:t>
      </w:r>
      <w:r w:rsidR="00B92A79" w:rsidRPr="00AE525D">
        <w:rPr>
          <w:lang w:eastAsia="ru-RU"/>
        </w:rPr>
        <w:t xml:space="preserve">я </w:t>
      </w:r>
      <w:r w:rsidR="006339D0" w:rsidRPr="00AE525D">
        <w:rPr>
          <w:lang w:eastAsia="ru-RU"/>
        </w:rPr>
        <w:t>решений суда об удовлетворении заявлений лицензирующего органа об аннулировании лицензии</w:t>
      </w:r>
      <w:r w:rsidR="00B92A79" w:rsidRPr="00AE525D">
        <w:rPr>
          <w:lang w:eastAsia="ru-RU"/>
        </w:rPr>
        <w:t xml:space="preserve"> в общем числе поданных обращений</w:t>
      </w:r>
      <w:r w:rsidR="00FE21C7" w:rsidRPr="00AE525D">
        <w:rPr>
          <w:lang w:eastAsia="ru-RU"/>
        </w:rPr>
        <w:t xml:space="preserve">, что, несомненно, </w:t>
      </w:r>
      <w:r w:rsidR="006339D0" w:rsidRPr="00AE525D">
        <w:rPr>
          <w:lang w:eastAsia="ru-RU"/>
        </w:rPr>
        <w:t xml:space="preserve">связано с </w:t>
      </w:r>
      <w:r w:rsidR="00FE21C7" w:rsidRPr="00AE525D">
        <w:rPr>
          <w:lang w:eastAsia="ru-RU"/>
        </w:rPr>
        <w:t xml:space="preserve">повышением </w:t>
      </w:r>
      <w:r w:rsidR="006339D0" w:rsidRPr="00AE525D">
        <w:rPr>
          <w:lang w:eastAsia="ru-RU"/>
        </w:rPr>
        <w:t xml:space="preserve"> качества составления протоколов об административных правонарушениях.</w:t>
      </w:r>
    </w:p>
    <w:p w:rsidR="00264550" w:rsidRDefault="00264550" w:rsidP="0026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C1D7A">
        <w:rPr>
          <w:lang w:eastAsia="ru-RU"/>
        </w:rPr>
        <w:lastRenderedPageBreak/>
        <w:t xml:space="preserve">Отмечается </w:t>
      </w:r>
      <w:r w:rsidR="004C1D7A" w:rsidRPr="004C1D7A">
        <w:rPr>
          <w:lang w:eastAsia="ru-RU"/>
        </w:rPr>
        <w:t xml:space="preserve">снижение общего количества </w:t>
      </w:r>
      <w:r w:rsidRPr="004C1D7A">
        <w:rPr>
          <w:lang w:eastAsia="ru-RU"/>
        </w:rPr>
        <w:t xml:space="preserve"> грубых нарушений лицензионных требований, выявленных по результатам проверок лицензиатов. </w:t>
      </w:r>
      <w:r w:rsidR="004C1D7A" w:rsidRPr="004C1D7A">
        <w:rPr>
          <w:lang w:eastAsia="ru-RU"/>
        </w:rPr>
        <w:t>При этом</w:t>
      </w:r>
      <w:proofErr w:type="gramStart"/>
      <w:r w:rsidR="004C1D7A" w:rsidRPr="004C1D7A">
        <w:rPr>
          <w:lang w:eastAsia="ru-RU"/>
        </w:rPr>
        <w:t>,</w:t>
      </w:r>
      <w:proofErr w:type="gramEnd"/>
      <w:r w:rsidR="004C1D7A" w:rsidRPr="004C1D7A">
        <w:rPr>
          <w:lang w:eastAsia="ru-RU"/>
        </w:rPr>
        <w:t xml:space="preserve"> в трех субъектах Российской Федерации з</w:t>
      </w:r>
      <w:r w:rsidRPr="004C1D7A">
        <w:rPr>
          <w:lang w:eastAsia="ru-RU"/>
        </w:rPr>
        <w:t>афиксировано</w:t>
      </w:r>
      <w:r w:rsidRPr="004C1D7A">
        <w:rPr>
          <w:rFonts w:ascii="Times New Roman CYR" w:hAnsi="Times New Roman CYR" w:cs="Times New Roman CYR"/>
        </w:rPr>
        <w:t xml:space="preserve"> 9 случаев причинения вреда жизни и здоровью граждан, произошедших по причине нарушения лицензионных требований: 7 случаев в Белгородской области </w:t>
      </w:r>
      <w:r w:rsidR="00C23695">
        <w:rPr>
          <w:rFonts w:ascii="Times New Roman CYR" w:hAnsi="Times New Roman CYR" w:cs="Times New Roman CYR"/>
        </w:rPr>
        <w:br/>
      </w:r>
      <w:r w:rsidRPr="004C1D7A">
        <w:rPr>
          <w:rFonts w:ascii="Times New Roman CYR" w:hAnsi="Times New Roman CYR" w:cs="Times New Roman CYR"/>
        </w:rPr>
        <w:t>и по 1 случаю в Нижегородской и Омской областях.</w:t>
      </w:r>
      <w:r>
        <w:rPr>
          <w:rFonts w:ascii="Times New Roman CYR" w:hAnsi="Times New Roman CYR" w:cs="Times New Roman CYR"/>
        </w:rPr>
        <w:t xml:space="preserve"> </w:t>
      </w:r>
    </w:p>
    <w:p w:rsidR="00422188" w:rsidRPr="00207227" w:rsidRDefault="00470EA8" w:rsidP="004A02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rPr>
          <w:rFonts w:ascii="Times New Roman CYR" w:hAnsi="Times New Roman CYR" w:cs="Times New Roman CYR"/>
        </w:rPr>
        <w:t xml:space="preserve">Лицензирующими органами </w:t>
      </w:r>
      <w:r w:rsidRPr="00207227">
        <w:rPr>
          <w:lang w:eastAsia="ru-RU"/>
        </w:rPr>
        <w:t xml:space="preserve">субъектов Российской Федерации  </w:t>
      </w:r>
      <w:r w:rsidRPr="00207227">
        <w:rPr>
          <w:rFonts w:ascii="Times New Roman CYR" w:hAnsi="Times New Roman CYR" w:cs="Times New Roman CYR"/>
        </w:rPr>
        <w:t>о</w:t>
      </w:r>
      <w:r w:rsidR="00422188" w:rsidRPr="00207227">
        <w:t xml:space="preserve">беспечивается информирование общественности о результатах предоставления государственных услуг и исполнения государственных функций путем размещения информации на официальных сайтах органов в сети </w:t>
      </w:r>
      <w:r w:rsidR="00C23695" w:rsidRPr="00207227">
        <w:t>«</w:t>
      </w:r>
      <w:r w:rsidR="00422188" w:rsidRPr="00207227">
        <w:t>Интернет</w:t>
      </w:r>
      <w:r w:rsidR="00C23695" w:rsidRPr="00207227">
        <w:t>»</w:t>
      </w:r>
      <w:r w:rsidR="00422188" w:rsidRPr="00207227">
        <w:t xml:space="preserve">, </w:t>
      </w:r>
      <w:r w:rsidRPr="00207227">
        <w:t xml:space="preserve">посредством </w:t>
      </w:r>
      <w:r w:rsidR="00422188" w:rsidRPr="00207227">
        <w:t>публичных обсуждени</w:t>
      </w:r>
      <w:r w:rsidRPr="00207227">
        <w:t xml:space="preserve">й и </w:t>
      </w:r>
      <w:r w:rsidR="00422188" w:rsidRPr="00207227">
        <w:t xml:space="preserve"> выступлени</w:t>
      </w:r>
      <w:r w:rsidRPr="00207227">
        <w:t>й</w:t>
      </w:r>
      <w:r w:rsidR="00422188" w:rsidRPr="00207227">
        <w:t xml:space="preserve"> уполномоченных лиц.</w:t>
      </w:r>
    </w:p>
    <w:p w:rsidR="00422188" w:rsidRPr="00207227" w:rsidRDefault="00470EA8" w:rsidP="004A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207227">
        <w:rPr>
          <w:rFonts w:ascii="Times New Roman CYR" w:hAnsi="Times New Roman CYR" w:cs="Times New Roman CYR"/>
        </w:rPr>
        <w:t>В субъектах Российской Федерации с</w:t>
      </w:r>
      <w:r w:rsidR="00422188" w:rsidRPr="00207227">
        <w:rPr>
          <w:rFonts w:ascii="Times New Roman CYR" w:hAnsi="Times New Roman CYR" w:cs="Times New Roman CYR"/>
        </w:rPr>
        <w:t>овершенствуется деятельность по применению административного права при определении мер ограничительного и предупредительного характера, направленных на профилактику и (или) устранение причин и последствий выявленных нарушений и недостатков в ходе проведения мероприятий по лицензионному контролю.</w:t>
      </w:r>
    </w:p>
    <w:p w:rsidR="00422188" w:rsidRPr="00207227" w:rsidRDefault="00422188" w:rsidP="004A02F3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207227">
        <w:rPr>
          <w:rFonts w:ascii="Times New Roman CYR" w:hAnsi="Times New Roman CYR" w:cs="Times New Roman CYR"/>
        </w:rPr>
        <w:t xml:space="preserve">Проводится работа по повышению профессиональной компетентности специалистов, осуществляющих лицензирование образовательной деятельности, с целью недопущения получения рекламаций со стороны юридических и физических лиц </w:t>
      </w:r>
      <w:r w:rsidRPr="00207227">
        <w:rPr>
          <w:lang w:eastAsia="ru-RU"/>
        </w:rPr>
        <w:t>на действия работников</w:t>
      </w:r>
      <w:r w:rsidR="00470EA8" w:rsidRPr="00207227">
        <w:rPr>
          <w:lang w:eastAsia="ru-RU"/>
        </w:rPr>
        <w:t xml:space="preserve"> лицензирующих органов</w:t>
      </w:r>
      <w:r w:rsidRPr="00207227">
        <w:rPr>
          <w:lang w:eastAsia="ru-RU"/>
        </w:rPr>
        <w:t>, участвующих в процедуре лицензирования.</w:t>
      </w:r>
    </w:p>
    <w:p w:rsidR="001A1E97" w:rsidRPr="00207227" w:rsidRDefault="001A1E97" w:rsidP="001A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207227">
        <w:rPr>
          <w:rFonts w:ascii="Times New Roman CYR" w:hAnsi="Times New Roman CYR" w:cs="Times New Roman CYR"/>
        </w:rPr>
        <w:t>39,1% государственных гражданских служащих, осуществляющих лицензирование образовательной деятельности, освоили дополнительные профессиональные  образовательные программы, что на 17,9% больше чем в 2016 году.</w:t>
      </w:r>
    </w:p>
    <w:p w:rsidR="00422188" w:rsidRPr="00207227" w:rsidRDefault="00422188" w:rsidP="004A02F3">
      <w:pPr>
        <w:spacing w:after="0" w:line="240" w:lineRule="auto"/>
        <w:ind w:firstLine="709"/>
        <w:contextualSpacing/>
        <w:jc w:val="both"/>
      </w:pPr>
      <w:r w:rsidRPr="00207227">
        <w:rPr>
          <w:lang w:eastAsia="ru-RU"/>
        </w:rPr>
        <w:t xml:space="preserve">Вместе с тем, лицензирующие органы субъектов Российской Федерации в своих докладах отмечают </w:t>
      </w:r>
      <w:r w:rsidR="0083158D" w:rsidRPr="00207227">
        <w:t xml:space="preserve">недостаточность нормативно-правовой основы для проведения лицензирования образовательной деятельности. </w:t>
      </w:r>
      <w:r w:rsidR="0083158D" w:rsidRPr="00207227">
        <w:rPr>
          <w:b/>
        </w:rPr>
        <w:t>Требуется внесение изменений в действующие нормативные правовые акты или разработка и утверждение подзаконных нормативных правовых актов</w:t>
      </w:r>
      <w:r w:rsidR="00BC6604" w:rsidRPr="00207227">
        <w:rPr>
          <w:b/>
        </w:rPr>
        <w:t>:</w:t>
      </w:r>
    </w:p>
    <w:p w:rsidR="00A61DBC" w:rsidRPr="00207227" w:rsidRDefault="0083158D" w:rsidP="004A02F3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207227">
        <w:rPr>
          <w:lang w:eastAsia="ru-RU"/>
        </w:rPr>
        <w:t>1.</w:t>
      </w:r>
      <w:r w:rsidR="008D4021" w:rsidRPr="00207227">
        <w:rPr>
          <w:lang w:eastAsia="ru-RU"/>
        </w:rPr>
        <w:t> </w:t>
      </w:r>
      <w:r w:rsidR="00A61DBC" w:rsidRPr="00207227">
        <w:rPr>
          <w:lang w:eastAsia="ru-RU"/>
        </w:rPr>
        <w:t xml:space="preserve">В соответствии с частью 4 статьи 91 Федерального закона </w:t>
      </w:r>
      <w:r w:rsidR="00A61DBC" w:rsidRPr="00207227">
        <w:rPr>
          <w:lang w:eastAsia="ru-RU"/>
        </w:rPr>
        <w:br/>
        <w:t>№ 273-ФЗ в приложении к лицензии указываются сведения о видах образования, об уровнях образования,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</w:t>
      </w:r>
    </w:p>
    <w:p w:rsidR="00A61DBC" w:rsidRPr="00207227" w:rsidRDefault="00A61DBC" w:rsidP="004A02F3">
      <w:pPr>
        <w:spacing w:after="0" w:line="240" w:lineRule="auto"/>
        <w:ind w:firstLine="851"/>
        <w:contextualSpacing/>
        <w:jc w:val="both"/>
        <w:rPr>
          <w:lang w:eastAsia="ru-RU"/>
        </w:rPr>
      </w:pPr>
      <w:proofErr w:type="gramStart"/>
      <w:r w:rsidRPr="00207227">
        <w:rPr>
          <w:lang w:eastAsia="ru-RU"/>
        </w:rPr>
        <w:t>При проведении проверки юридическое лицо и индивидуальные предприниматели имеют возможность скрыть места фактического осуществления деятельности, тем самым избежать затрат на приведение образовательной деятельности в соответствии с требованиями законодательства (</w:t>
      </w:r>
      <w:r w:rsidRPr="00207227">
        <w:rPr>
          <w:rFonts w:eastAsia="Calibri"/>
          <w:lang w:eastAsia="ru-RU"/>
        </w:rPr>
        <w:t xml:space="preserve">в установленном порядке получения санитарно-эпидемиологического </w:t>
      </w:r>
      <w:r w:rsidRPr="00207227">
        <w:rPr>
          <w:rFonts w:eastAsia="Calibri"/>
          <w:lang w:eastAsia="ru-RU"/>
        </w:rPr>
        <w:lastRenderedPageBreak/>
        <w:t>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а также  заключения о соответствии объекта защиты обязательным требованиям</w:t>
      </w:r>
      <w:proofErr w:type="gramEnd"/>
      <w:r w:rsidRPr="00207227">
        <w:rPr>
          <w:rFonts w:eastAsia="Calibri"/>
          <w:lang w:eastAsia="ru-RU"/>
        </w:rPr>
        <w:t xml:space="preserve"> пожарной безопасности при осуществлении образовательной деятельности (в случае если соискателем лицензии является образовательная организация</w:t>
      </w:r>
      <w:r w:rsidRPr="00207227">
        <w:rPr>
          <w:lang w:eastAsia="ru-RU"/>
        </w:rPr>
        <w:t xml:space="preserve"> и др.)).</w:t>
      </w:r>
    </w:p>
    <w:p w:rsidR="00A61DBC" w:rsidRPr="00207227" w:rsidRDefault="00A61DBC" w:rsidP="004A02F3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207227">
        <w:rPr>
          <w:lang w:eastAsia="ru-RU"/>
        </w:rPr>
        <w:t>В таких условиях ведение образовательной деятельности недобросовестными юридическими лицами и индивидуальными предпринимателями могут повлечь угрозу причинения вреда жизни и здоровью обучающихся и работников организации, сказаться на качестве подготовки обучающихся.</w:t>
      </w:r>
    </w:p>
    <w:p w:rsidR="00F62B9C" w:rsidRPr="00207227" w:rsidRDefault="00F62B9C" w:rsidP="004A02F3">
      <w:pPr>
        <w:spacing w:after="0" w:line="240" w:lineRule="auto"/>
        <w:ind w:firstLine="851"/>
        <w:contextualSpacing/>
        <w:jc w:val="both"/>
        <w:rPr>
          <w:lang w:eastAsia="ru-RU"/>
        </w:rPr>
      </w:pPr>
      <w:r w:rsidRPr="00207227">
        <w:t xml:space="preserve">Предлагается </w:t>
      </w:r>
      <w:r w:rsidR="00FE21C7" w:rsidRPr="00207227">
        <w:t xml:space="preserve">определить  на федеральном уровне  порядок проведения проверки при установлении факта отсутствия юридического лица в местах осуществления образовательной деятельности,  и </w:t>
      </w:r>
      <w:r w:rsidRPr="00207227">
        <w:t>н</w:t>
      </w:r>
      <w:r w:rsidRPr="00207227">
        <w:rPr>
          <w:lang w:eastAsia="ru-RU"/>
        </w:rPr>
        <w:t>аделить орган государственной власти субъекта Российской Федерации, осуществляющий лицензировани</w:t>
      </w:r>
      <w:r w:rsidR="00FE21C7" w:rsidRPr="00207227">
        <w:rPr>
          <w:lang w:eastAsia="ru-RU"/>
        </w:rPr>
        <w:t>е</w:t>
      </w:r>
      <w:r w:rsidRPr="00207227">
        <w:rPr>
          <w:lang w:eastAsia="ru-RU"/>
        </w:rPr>
        <w:t xml:space="preserve"> образовательной деятельности, полномочиями по прекращению </w:t>
      </w:r>
      <w:r w:rsidR="00FE21C7" w:rsidRPr="00207227">
        <w:rPr>
          <w:lang w:eastAsia="ru-RU"/>
        </w:rPr>
        <w:t xml:space="preserve">в этом случае </w:t>
      </w:r>
      <w:r w:rsidRPr="00207227">
        <w:rPr>
          <w:lang w:eastAsia="ru-RU"/>
        </w:rPr>
        <w:t>действия лицензии (исключению из реестра лицензий)</w:t>
      </w:r>
      <w:r w:rsidR="00FE21C7" w:rsidRPr="00207227">
        <w:rPr>
          <w:lang w:eastAsia="ru-RU"/>
        </w:rPr>
        <w:t xml:space="preserve">. </w:t>
      </w:r>
      <w:r w:rsidRPr="00207227">
        <w:rPr>
          <w:lang w:eastAsia="ru-RU"/>
        </w:rPr>
        <w:t xml:space="preserve"> </w:t>
      </w:r>
    </w:p>
    <w:p w:rsidR="006522B0" w:rsidRPr="00207227" w:rsidRDefault="00961C20" w:rsidP="004A02F3">
      <w:pPr>
        <w:spacing w:after="0" w:line="240" w:lineRule="auto"/>
        <w:ind w:firstLine="709"/>
        <w:jc w:val="both"/>
      </w:pPr>
      <w:r w:rsidRPr="00207227">
        <w:rPr>
          <w:rFonts w:eastAsia="Calibri"/>
        </w:rPr>
        <w:t>2</w:t>
      </w:r>
      <w:r w:rsidR="00404D18" w:rsidRPr="00207227">
        <w:rPr>
          <w:rFonts w:eastAsia="Calibri"/>
        </w:rPr>
        <w:t>.</w:t>
      </w:r>
      <w:r w:rsidR="008D4021" w:rsidRPr="00207227">
        <w:rPr>
          <w:rFonts w:eastAsia="Calibri"/>
        </w:rPr>
        <w:t> </w:t>
      </w:r>
      <w:r w:rsidR="006522B0" w:rsidRPr="00207227">
        <w:t xml:space="preserve">Федеральным законом </w:t>
      </w:r>
      <w:r w:rsidR="00F734DE" w:rsidRPr="00207227">
        <w:t xml:space="preserve">№ 99-ФЗ </w:t>
      </w:r>
      <w:r w:rsidR="006522B0" w:rsidRPr="00207227">
        <w:t>к лицензионному контролю отнесены проверки при обращении соискателя лицензии (лицензиата) за предоставлением (переоформлением) лицензии. Кроме того, при осуществлении лицензионного контроля применяются</w:t>
      </w:r>
      <w:r w:rsidR="00404D18" w:rsidRPr="00207227">
        <w:t xml:space="preserve"> </w:t>
      </w:r>
      <w:r w:rsidR="006522B0" w:rsidRPr="00207227">
        <w:t xml:space="preserve">положения, установленные </w:t>
      </w:r>
      <w:r w:rsidR="00404D18" w:rsidRPr="00207227">
        <w:t xml:space="preserve"> </w:t>
      </w:r>
      <w:r w:rsidR="006522B0" w:rsidRPr="00207227">
        <w:t xml:space="preserve">Федеральным законом </w:t>
      </w:r>
      <w:r w:rsidR="00C23695" w:rsidRPr="00207227">
        <w:br/>
      </w:r>
      <w:r w:rsidR="006522B0" w:rsidRPr="00207227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522B0" w:rsidRPr="00207227" w:rsidRDefault="006522B0" w:rsidP="004A02F3">
      <w:pPr>
        <w:spacing w:after="0" w:line="240" w:lineRule="auto"/>
        <w:ind w:firstLine="709"/>
        <w:contextualSpacing/>
        <w:jc w:val="both"/>
      </w:pPr>
      <w:proofErr w:type="gramStart"/>
      <w:r w:rsidRPr="00207227">
        <w:t>При проверках юридического лица, индивидуального предпринимателя, обратившегося за предоставлением (переоформлением) лицензии, должны использоваться документы (приказ (распоряжение) о проведении проверки, акт проверки), формы которых утверждены приказом Министерства экономического развития Российской Федерации от 30</w:t>
      </w:r>
      <w:r w:rsidR="001A3D4D" w:rsidRPr="00207227">
        <w:t xml:space="preserve"> апреля </w:t>
      </w:r>
      <w:r w:rsidRPr="00207227">
        <w:t>2009</w:t>
      </w:r>
      <w:r w:rsidR="001A3D4D" w:rsidRPr="00207227">
        <w:t xml:space="preserve"> г.</w:t>
      </w:r>
      <w:r w:rsidRPr="00207227">
        <w:t xml:space="preserve"> № 141 </w:t>
      </w:r>
      <w:r w:rsidR="002C7E66" w:rsidRPr="00207227">
        <w:br/>
      </w:r>
      <w:r w:rsidRPr="00207227">
        <w:t>«О реализации положений Федерального закона «О защите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207227">
        <w:t xml:space="preserve"> Однако данные формы документов не учитывают особенностей, связанных с осуществлением лицензионного контроля при предоставлении государственной услуги по лицензированию образовательной деятельности соискателю лицензии, лицензиату.</w:t>
      </w:r>
      <w:r w:rsidR="008A6FC3" w:rsidRPr="00207227">
        <w:t xml:space="preserve"> Требуется  утверждение на федеральном уровне  форм документов </w:t>
      </w:r>
      <w:proofErr w:type="gramStart"/>
      <w:r w:rsidR="008A6FC3" w:rsidRPr="00207227">
        <w:t>для</w:t>
      </w:r>
      <w:proofErr w:type="gramEnd"/>
      <w:r w:rsidR="008A6FC3" w:rsidRPr="00207227">
        <w:t xml:space="preserve">  </w:t>
      </w:r>
      <w:proofErr w:type="gramStart"/>
      <w:r w:rsidR="008A6FC3" w:rsidRPr="00207227">
        <w:t>проведении</w:t>
      </w:r>
      <w:proofErr w:type="gramEnd"/>
      <w:r w:rsidR="008A6FC3" w:rsidRPr="00207227">
        <w:t xml:space="preserve">  лицензионного контроля.</w:t>
      </w:r>
    </w:p>
    <w:p w:rsidR="003A520B" w:rsidRPr="00207227" w:rsidRDefault="003A520B" w:rsidP="003A520B">
      <w:pPr>
        <w:tabs>
          <w:tab w:val="left" w:pos="0"/>
        </w:tabs>
        <w:spacing w:after="0" w:line="240" w:lineRule="auto"/>
        <w:jc w:val="both"/>
      </w:pPr>
      <w:r w:rsidRPr="00207227">
        <w:rPr>
          <w:rFonts w:eastAsia="Calibri"/>
        </w:rPr>
        <w:tab/>
      </w:r>
      <w:r w:rsidR="00961C20" w:rsidRPr="00207227">
        <w:rPr>
          <w:rFonts w:eastAsia="Calibri"/>
        </w:rPr>
        <w:t>3</w:t>
      </w:r>
      <w:r w:rsidR="00F62B9C" w:rsidRPr="00207227">
        <w:rPr>
          <w:rFonts w:eastAsia="Calibri"/>
        </w:rPr>
        <w:t>.</w:t>
      </w:r>
      <w:r w:rsidR="008D4021" w:rsidRPr="00207227">
        <w:rPr>
          <w:rFonts w:eastAsia="Calibri"/>
        </w:rPr>
        <w:t> </w:t>
      </w:r>
      <w:proofErr w:type="gramStart"/>
      <w:r w:rsidRPr="00207227">
        <w:t xml:space="preserve">Согласно подпункту «м» пункта 10 </w:t>
      </w:r>
      <w:r w:rsidR="00007C14" w:rsidRPr="00207227">
        <w:rPr>
          <w:rFonts w:ascii="Times New Roman CYR" w:hAnsi="Times New Roman CYR" w:cs="Times New Roman CYR"/>
          <w:bCs/>
        </w:rPr>
        <w:t xml:space="preserve">Положения о лицензировании </w:t>
      </w:r>
      <w:r w:rsidRPr="00207227">
        <w:t xml:space="preserve">соискатель лицензии для получения лицензии должен представить в лицензирующий орган сведения о гражданах, являющихся учредителями организаций, планирующих осуществлять образовательную деятельность по </w:t>
      </w:r>
      <w:r w:rsidRPr="00207227">
        <w:lastRenderedPageBreak/>
        <w:t>основным программам профессионального обучения для работы в качестве частных детективов, частных охранников и дополнительным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</w:t>
      </w:r>
      <w:proofErr w:type="gramEnd"/>
      <w:r w:rsidRPr="00207227">
        <w:t xml:space="preserve">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руководителей частных охранных организаций, подтверждающие их соответствие требованиям, предусмотренным статьей 15.2 </w:t>
      </w:r>
      <w:r w:rsidRPr="00207227">
        <w:rPr>
          <w:lang w:eastAsia="ru-RU"/>
        </w:rPr>
        <w:t xml:space="preserve">Закона </w:t>
      </w:r>
      <w:r w:rsidR="00180367" w:rsidRPr="00207227">
        <w:rPr>
          <w:lang w:eastAsia="ru-RU"/>
        </w:rPr>
        <w:t xml:space="preserve">Российской Федерации </w:t>
      </w:r>
      <w:r w:rsidRPr="00207227">
        <w:rPr>
          <w:lang w:eastAsia="ru-RU"/>
        </w:rPr>
        <w:t>№</w:t>
      </w:r>
      <w:r w:rsidR="00007C14" w:rsidRPr="00207227">
        <w:rPr>
          <w:lang w:eastAsia="ru-RU"/>
        </w:rPr>
        <w:t xml:space="preserve"> </w:t>
      </w:r>
      <w:r w:rsidRPr="00207227">
        <w:rPr>
          <w:lang w:eastAsia="ru-RU"/>
        </w:rPr>
        <w:t>2487-</w:t>
      </w:r>
      <w:r w:rsidR="00C23695" w:rsidRPr="00207227">
        <w:rPr>
          <w:lang w:val="en-US" w:eastAsia="ru-RU"/>
        </w:rPr>
        <w:t>I</w:t>
      </w:r>
      <w:r w:rsidR="00007C14" w:rsidRPr="00207227">
        <w:rPr>
          <w:lang w:eastAsia="ru-RU"/>
        </w:rPr>
        <w:t>.</w:t>
      </w:r>
      <w:r w:rsidRPr="00207227">
        <w:rPr>
          <w:lang w:eastAsia="ru-RU"/>
        </w:rPr>
        <w:t xml:space="preserve"> </w:t>
      </w:r>
    </w:p>
    <w:p w:rsidR="003A520B" w:rsidRPr="00207227" w:rsidRDefault="00007C14" w:rsidP="003A520B">
      <w:pPr>
        <w:tabs>
          <w:tab w:val="left" w:pos="709"/>
          <w:tab w:val="left" w:pos="1134"/>
        </w:tabs>
        <w:spacing w:after="0" w:line="240" w:lineRule="auto"/>
        <w:ind w:firstLine="709"/>
        <w:jc w:val="both"/>
      </w:pPr>
      <w:r w:rsidRPr="00207227">
        <w:rPr>
          <w:rFonts w:ascii="Times New Roman CYR" w:hAnsi="Times New Roman CYR" w:cs="Times New Roman CYR"/>
          <w:bCs/>
        </w:rPr>
        <w:t xml:space="preserve">Положением о лицензировании </w:t>
      </w:r>
      <w:r w:rsidR="003A520B" w:rsidRPr="00207227">
        <w:t xml:space="preserve">не установлено, в какой форме соискатель лицензии должен представить указанные сведения. В связи с этим необходимо конкретизировать форму указанных сведений и внести соответствующие изменения в </w:t>
      </w:r>
      <w:r w:rsidRPr="00207227">
        <w:rPr>
          <w:rFonts w:ascii="Times New Roman CYR" w:hAnsi="Times New Roman CYR" w:cs="Times New Roman CYR"/>
          <w:bCs/>
        </w:rPr>
        <w:t>Положение о лицензировании</w:t>
      </w:r>
      <w:r w:rsidR="003A520B" w:rsidRPr="00207227">
        <w:t>.</w:t>
      </w:r>
    </w:p>
    <w:p w:rsidR="003A520B" w:rsidRPr="00207227" w:rsidRDefault="003A520B" w:rsidP="003A520B">
      <w:pPr>
        <w:tabs>
          <w:tab w:val="left" w:pos="0"/>
        </w:tabs>
        <w:spacing w:after="0" w:line="240" w:lineRule="auto"/>
        <w:ind w:firstLine="709"/>
        <w:jc w:val="both"/>
      </w:pPr>
      <w:r w:rsidRPr="00207227">
        <w:t xml:space="preserve">4. Согласно подпункту «д» пункта 7 </w:t>
      </w:r>
      <w:r w:rsidR="00007C14" w:rsidRPr="00207227">
        <w:rPr>
          <w:rFonts w:ascii="Times New Roman CYR" w:hAnsi="Times New Roman CYR" w:cs="Times New Roman CYR"/>
          <w:bCs/>
        </w:rPr>
        <w:t>Положения о лицензировании</w:t>
      </w:r>
      <w:r w:rsidRPr="00207227">
        <w:t xml:space="preserve"> при лицензионном контроле лицензиат должен подтвердить соответствие требованиям статьи 15.2 </w:t>
      </w:r>
      <w:r w:rsidR="00007C14" w:rsidRPr="00207227">
        <w:rPr>
          <w:lang w:eastAsia="ru-RU"/>
        </w:rPr>
        <w:t xml:space="preserve">Закона </w:t>
      </w:r>
      <w:r w:rsidR="00180367" w:rsidRPr="00207227">
        <w:rPr>
          <w:lang w:eastAsia="ru-RU"/>
        </w:rPr>
        <w:t xml:space="preserve">Российской Федерации </w:t>
      </w:r>
      <w:r w:rsidR="00007C14" w:rsidRPr="00207227">
        <w:rPr>
          <w:lang w:eastAsia="ru-RU"/>
        </w:rPr>
        <w:t>№ 2487-</w:t>
      </w:r>
      <w:r w:rsidR="00C23695" w:rsidRPr="00207227">
        <w:rPr>
          <w:lang w:val="en-US" w:eastAsia="ru-RU"/>
        </w:rPr>
        <w:t>I</w:t>
      </w:r>
      <w:r w:rsidR="00007C14" w:rsidRPr="00207227">
        <w:rPr>
          <w:lang w:eastAsia="ru-RU"/>
        </w:rPr>
        <w:t xml:space="preserve"> </w:t>
      </w:r>
      <w:r w:rsidRPr="00207227">
        <w:t>при реализации программ подготовки частных охранников, а именно: отсутствия судимости и двойного гражданства.</w:t>
      </w:r>
    </w:p>
    <w:p w:rsidR="003A520B" w:rsidRPr="00207227" w:rsidRDefault="003A520B" w:rsidP="003A520B">
      <w:pPr>
        <w:tabs>
          <w:tab w:val="left" w:pos="709"/>
          <w:tab w:val="left" w:pos="1134"/>
        </w:tabs>
        <w:spacing w:after="0" w:line="240" w:lineRule="auto"/>
        <w:jc w:val="both"/>
      </w:pPr>
      <w:r w:rsidRPr="00207227">
        <w:tab/>
      </w:r>
      <w:r w:rsidR="00E54E6C" w:rsidRPr="00207227">
        <w:t>З</w:t>
      </w:r>
      <w:r w:rsidRPr="00207227">
        <w:t xml:space="preserve">аконодательно не </w:t>
      </w:r>
      <w:proofErr w:type="gramStart"/>
      <w:r w:rsidRPr="00207227">
        <w:t>определено</w:t>
      </w:r>
      <w:proofErr w:type="gramEnd"/>
      <w:r w:rsidRPr="00207227">
        <w:t xml:space="preserve"> в какой форме и каким документом должны быть подтверждены данные требования. Во-вторых, при направлении лицензиатами запросов в органы МВД России о предоставлении сведений (документов), подтверждающих отсутствие у них двойного гражданства, лицензиаты или соискатели лицензии получают отказ в связи отсутствием утвержденной формы справки. </w:t>
      </w:r>
    </w:p>
    <w:p w:rsidR="003A520B" w:rsidRPr="00207227" w:rsidRDefault="003A520B" w:rsidP="003A520B">
      <w:pPr>
        <w:tabs>
          <w:tab w:val="left" w:pos="709"/>
          <w:tab w:val="left" w:pos="1134"/>
        </w:tabs>
        <w:spacing w:after="0" w:line="240" w:lineRule="auto"/>
        <w:ind w:firstLine="709"/>
        <w:jc w:val="both"/>
      </w:pPr>
      <w:r w:rsidRPr="00207227">
        <w:t xml:space="preserve">Кроме того, срок ответа из соответствующих органов составляет 30 дней, превышающий срок проведения плановой проверки по лицензионному контролю. </w:t>
      </w:r>
    </w:p>
    <w:p w:rsidR="003A520B" w:rsidRPr="00207227" w:rsidRDefault="003A520B" w:rsidP="003A520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lang w:eastAsia="ru-RU"/>
        </w:rPr>
      </w:pPr>
      <w:r w:rsidRPr="00207227">
        <w:t>Непредставление руководителем организации указанных сведений в ходе проведения плановой проверки по лицензионному контролю является грубым нарушением лицензионных требований, за что предусмотрена административная ответственность в соответствии с частью 3 статьи 19.20 КоАП.</w:t>
      </w:r>
    </w:p>
    <w:p w:rsidR="003A520B" w:rsidRPr="00207227" w:rsidRDefault="003A520B" w:rsidP="003A5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207227">
        <w:rPr>
          <w:lang w:eastAsia="ru-RU"/>
        </w:rPr>
        <w:t>Необходимо внести изменения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органами 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</w:t>
      </w:r>
      <w:proofErr w:type="gramEnd"/>
      <w:r w:rsidRPr="00207227">
        <w:rPr>
          <w:lang w:eastAsia="ru-RU"/>
        </w:rPr>
        <w:t xml:space="preserve"> 19 апреля 2016 г</w:t>
      </w:r>
      <w:r w:rsidR="00180367" w:rsidRPr="00207227">
        <w:rPr>
          <w:lang w:eastAsia="ru-RU"/>
        </w:rPr>
        <w:t>.</w:t>
      </w:r>
      <w:r w:rsidRPr="00207227">
        <w:rPr>
          <w:lang w:eastAsia="ru-RU"/>
        </w:rPr>
        <w:t xml:space="preserve"> № 724-р, дополнив сведениями о </w:t>
      </w:r>
      <w:r w:rsidRPr="00207227">
        <w:rPr>
          <w:lang w:eastAsia="ru-RU"/>
        </w:rPr>
        <w:lastRenderedPageBreak/>
        <w:t>наличии (отсутствии) информации, указанной в пункте 2 статьи 15.2 Закона Российской Федерации № 2487-</w:t>
      </w:r>
      <w:r w:rsidR="00C23695" w:rsidRPr="00207227">
        <w:rPr>
          <w:lang w:val="en-US" w:eastAsia="ru-RU"/>
        </w:rPr>
        <w:t>I</w:t>
      </w:r>
      <w:r w:rsidRPr="00207227">
        <w:rPr>
          <w:lang w:eastAsia="ru-RU"/>
        </w:rPr>
        <w:t xml:space="preserve">. </w:t>
      </w:r>
    </w:p>
    <w:p w:rsidR="003A520B" w:rsidRPr="00207227" w:rsidRDefault="003A520B" w:rsidP="003A5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07227">
        <w:rPr>
          <w:lang w:eastAsia="ru-RU"/>
        </w:rPr>
        <w:t xml:space="preserve">В связи с внесением изменений в данный Перечень документов и (или) информации, лицензирующий орган сам будет запрашивать указанные сведения до начала проведения мероприятий по контролю, что снимет нагрузку с лицензиатов и сократит срок получения ответа на запрос о предоставлении указанных сведений. </w:t>
      </w:r>
    </w:p>
    <w:p w:rsidR="00422188" w:rsidRPr="00207227" w:rsidRDefault="003A520B" w:rsidP="003A5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>5</w:t>
      </w:r>
      <w:r w:rsidR="00F62B9C" w:rsidRPr="00207227">
        <w:t>.</w:t>
      </w:r>
      <w:r w:rsidR="008D4021" w:rsidRPr="00207227">
        <w:t> </w:t>
      </w:r>
      <w:r w:rsidR="00DB6AEB" w:rsidRPr="00207227">
        <w:t xml:space="preserve">Необходимо разработать </w:t>
      </w:r>
      <w:r w:rsidR="00D043CC" w:rsidRPr="00207227">
        <w:t xml:space="preserve">единый порядок хранения и списания лицензионных дел, а также порядок приобретения, учета, хранения, заполнения и списания бланков лицензий на осуществление образовательной деятельности и приложений к ним. </w:t>
      </w:r>
      <w:proofErr w:type="gramStart"/>
      <w:r w:rsidR="00D043CC" w:rsidRPr="00207227">
        <w:t>Списание лицензионных дел особенно стало актуальным в последние 4 года, когда большое количество лицензиатов прекратило осуществление образовательной деятельности в связи с ужесточением лицензионных требований и проведением оптимизационных мероприятий.</w:t>
      </w:r>
      <w:r w:rsidR="00422188" w:rsidRPr="00207227">
        <w:t xml:space="preserve">  </w:t>
      </w:r>
      <w:proofErr w:type="gramEnd"/>
    </w:p>
    <w:p w:rsidR="003A520B" w:rsidRPr="00207227" w:rsidRDefault="003A520B" w:rsidP="003A5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4"/>
          <w:lang w:eastAsia="ru-RU"/>
        </w:rPr>
      </w:pPr>
      <w:r w:rsidRPr="00207227">
        <w:t>6</w:t>
      </w:r>
      <w:r w:rsidR="00BC6604" w:rsidRPr="00207227">
        <w:t>.</w:t>
      </w:r>
      <w:r w:rsidR="008D4021" w:rsidRPr="00207227">
        <w:t> </w:t>
      </w:r>
      <w:r w:rsidRPr="00207227">
        <w:rPr>
          <w:spacing w:val="4"/>
          <w:lang w:eastAsia="ru-RU"/>
        </w:rPr>
        <w:t xml:space="preserve">Внести изменения в Методику определения общего размера субвенций, предоставляемых из федерального бюджета бюджетам субъектов Российской </w:t>
      </w:r>
      <w:proofErr w:type="gramStart"/>
      <w:r w:rsidRPr="00207227">
        <w:rPr>
          <w:spacing w:val="4"/>
          <w:lang w:eastAsia="ru-RU"/>
        </w:rPr>
        <w:t>Федерации</w:t>
      </w:r>
      <w:proofErr w:type="gramEnd"/>
      <w:r w:rsidRPr="00207227">
        <w:rPr>
          <w:spacing w:val="4"/>
          <w:lang w:eastAsia="ru-RU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образования, государственному контролю качества образования, лицензированию образовательной деятельности и государственной аккредитации образовательных учреждений, утвержденную постановлением Правительства Российской Федерации от 27</w:t>
      </w:r>
      <w:r w:rsidR="00180367" w:rsidRPr="00207227">
        <w:rPr>
          <w:spacing w:val="4"/>
          <w:lang w:eastAsia="ru-RU"/>
        </w:rPr>
        <w:t xml:space="preserve"> декабря </w:t>
      </w:r>
      <w:r w:rsidRPr="00207227">
        <w:rPr>
          <w:spacing w:val="4"/>
          <w:lang w:eastAsia="ru-RU"/>
        </w:rPr>
        <w:t>2010</w:t>
      </w:r>
      <w:r w:rsidR="00180367" w:rsidRPr="00207227">
        <w:rPr>
          <w:spacing w:val="4"/>
          <w:lang w:eastAsia="ru-RU"/>
        </w:rPr>
        <w:t xml:space="preserve"> </w:t>
      </w:r>
      <w:proofErr w:type="gramStart"/>
      <w:r w:rsidR="00180367" w:rsidRPr="00207227">
        <w:rPr>
          <w:spacing w:val="4"/>
          <w:lang w:eastAsia="ru-RU"/>
        </w:rPr>
        <w:t>г.</w:t>
      </w:r>
      <w:r w:rsidRPr="00207227">
        <w:rPr>
          <w:spacing w:val="4"/>
          <w:lang w:eastAsia="ru-RU"/>
        </w:rPr>
        <w:t xml:space="preserve"> № 1116, с целью учета мероприятий, не предусмотренных формулой для определения субвенций (</w:t>
      </w:r>
      <w:r w:rsidR="00E54E6C" w:rsidRPr="00207227">
        <w:rPr>
          <w:spacing w:val="4"/>
          <w:lang w:eastAsia="ru-RU"/>
        </w:rPr>
        <w:t>проведения мероприятий по профилактике нарушений</w:t>
      </w:r>
      <w:r w:rsidR="00E54E6C" w:rsidRPr="00207227">
        <w:t xml:space="preserve"> </w:t>
      </w:r>
      <w:r w:rsidR="00E54E6C" w:rsidRPr="00207227">
        <w:rPr>
          <w:spacing w:val="4"/>
          <w:lang w:eastAsia="ru-RU"/>
        </w:rPr>
        <w:t>обязательных требований, мероприятий по контролю, осуществляемых без взаимодействия с юридическими лицами и индивидуальными предпринимателями, деятельность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</w:t>
      </w:r>
      <w:r w:rsidRPr="00207227">
        <w:rPr>
          <w:spacing w:val="4"/>
          <w:lang w:eastAsia="ru-RU"/>
        </w:rPr>
        <w:t>).</w:t>
      </w:r>
      <w:proofErr w:type="gramEnd"/>
    </w:p>
    <w:p w:rsidR="00422188" w:rsidRPr="00207227" w:rsidRDefault="00422188" w:rsidP="008D4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227">
        <w:t xml:space="preserve">Лицензирующие органы субъектов Российской Федерации в своих докладах также предлагают </w:t>
      </w:r>
      <w:r w:rsidR="00BC6604" w:rsidRPr="00207227">
        <w:t>сотрудничество</w:t>
      </w:r>
      <w:r w:rsidRPr="00207227">
        <w:rPr>
          <w:b/>
        </w:rPr>
        <w:t xml:space="preserve"> </w:t>
      </w:r>
      <w:r w:rsidR="0032720F" w:rsidRPr="00207227">
        <w:rPr>
          <w:b/>
        </w:rPr>
        <w:t xml:space="preserve">с </w:t>
      </w:r>
      <w:r w:rsidR="00AF0593" w:rsidRPr="00207227">
        <w:t xml:space="preserve">Федеральной службой по надзору в сфере образования и науки </w:t>
      </w:r>
      <w:r w:rsidRPr="00207227">
        <w:t>по вопросам лицензирования и лицензионного контроля</w:t>
      </w:r>
      <w:r w:rsidR="00AF0593" w:rsidRPr="00207227">
        <w:t xml:space="preserve"> </w:t>
      </w:r>
      <w:r w:rsidR="0032720F" w:rsidRPr="00207227">
        <w:t>в</w:t>
      </w:r>
      <w:r w:rsidR="00EE5178" w:rsidRPr="00207227">
        <w:t xml:space="preserve"> следующ</w:t>
      </w:r>
      <w:r w:rsidR="0032720F" w:rsidRPr="00207227">
        <w:t xml:space="preserve">их </w:t>
      </w:r>
      <w:r w:rsidR="00EE5178" w:rsidRPr="00207227">
        <w:t>направления</w:t>
      </w:r>
      <w:r w:rsidR="0032720F" w:rsidRPr="00207227">
        <w:t>х</w:t>
      </w:r>
      <w:r w:rsidRPr="00207227">
        <w:t>:</w:t>
      </w:r>
    </w:p>
    <w:p w:rsidR="00422188" w:rsidRPr="00207227" w:rsidRDefault="004424F9" w:rsidP="008D402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27">
        <w:rPr>
          <w:rFonts w:ascii="Times New Roman" w:hAnsi="Times New Roman" w:cs="Times New Roman"/>
          <w:sz w:val="28"/>
          <w:szCs w:val="28"/>
        </w:rPr>
        <w:t>1.</w:t>
      </w:r>
      <w:r w:rsidR="008D4021" w:rsidRPr="00207227">
        <w:rPr>
          <w:rFonts w:ascii="Times New Roman" w:hAnsi="Times New Roman" w:cs="Times New Roman"/>
          <w:sz w:val="28"/>
          <w:szCs w:val="28"/>
        </w:rPr>
        <w:t> </w:t>
      </w:r>
      <w:r w:rsidR="00EE5178" w:rsidRPr="00207227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="00EE5178" w:rsidRPr="00207227">
        <w:rPr>
          <w:rFonts w:ascii="Times New Roman" w:hAnsi="Times New Roman" w:cs="Times New Roman"/>
          <w:sz w:val="28"/>
          <w:szCs w:val="28"/>
        </w:rPr>
        <w:t>в разработке</w:t>
      </w:r>
      <w:r w:rsidR="00422188" w:rsidRPr="0020722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предоставлению государственных услуг в сфере лицензировани</w:t>
      </w:r>
      <w:r w:rsidR="00EE5178" w:rsidRPr="00207227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="00422188" w:rsidRPr="00207227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="00422188" w:rsidRPr="0020722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EE5178" w:rsidRPr="0020722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422188" w:rsidRPr="002072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4F9" w:rsidRPr="00D043CC" w:rsidRDefault="004424F9" w:rsidP="008D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07227">
        <w:rPr>
          <w:lang w:eastAsia="ru-RU"/>
        </w:rPr>
        <w:t xml:space="preserve">методики оценки соблюдения лицензионных требований лицензиатами, реализующими дополнительные общеобразовательные программы и программы </w:t>
      </w:r>
      <w:r w:rsidRPr="00207227">
        <w:rPr>
          <w:lang w:eastAsia="ru-RU"/>
        </w:rPr>
        <w:lastRenderedPageBreak/>
        <w:t xml:space="preserve">профессионального обучения, в части наличия условий для охраны здоровья обучающихся, а также безопасных условий обучения, воспитания обучающихся </w:t>
      </w:r>
      <w:r w:rsidRPr="00207227">
        <w:rPr>
          <w:lang w:eastAsia="ru-RU"/>
        </w:rPr>
        <w:br/>
        <w:t>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4424F9" w:rsidRPr="00D043CC" w:rsidRDefault="004424F9" w:rsidP="008D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D043CC">
        <w:rPr>
          <w:lang w:eastAsia="ru-RU"/>
        </w:rPr>
        <w:t>конкретизации требований к электронной информационно-образовательной среде при реализации лицензиатом образовательных программ с применением исключительно электронного обучения, дистанционных образовательных технологий;</w:t>
      </w:r>
    </w:p>
    <w:p w:rsidR="004424F9" w:rsidRPr="00D043CC" w:rsidRDefault="004424F9" w:rsidP="008D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D043CC">
        <w:rPr>
          <w:lang w:eastAsia="ru-RU"/>
        </w:rPr>
        <w:t>лицензирования организаций, осуществляющих образовательную деятельность по реализации образовательных программ в сетевой форме</w:t>
      </w:r>
      <w:r w:rsidR="00BC6604" w:rsidRPr="00D043CC">
        <w:rPr>
          <w:lang w:eastAsia="ru-RU"/>
        </w:rPr>
        <w:t>.</w:t>
      </w:r>
    </w:p>
    <w:p w:rsidR="004424F9" w:rsidRPr="007B3758" w:rsidRDefault="00773206" w:rsidP="008D4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CC">
        <w:rPr>
          <w:rFonts w:ascii="Times New Roman" w:hAnsi="Times New Roman" w:cs="Times New Roman"/>
          <w:sz w:val="28"/>
          <w:szCs w:val="28"/>
        </w:rPr>
        <w:t>2</w:t>
      </w:r>
      <w:r w:rsidR="00EE5178" w:rsidRPr="00D043CC">
        <w:rPr>
          <w:rFonts w:ascii="Times New Roman" w:hAnsi="Times New Roman" w:cs="Times New Roman"/>
          <w:sz w:val="28"/>
          <w:szCs w:val="28"/>
        </w:rPr>
        <w:t>.</w:t>
      </w:r>
      <w:r w:rsidR="008D4021" w:rsidRPr="00D043CC">
        <w:rPr>
          <w:rFonts w:ascii="Times New Roman" w:hAnsi="Times New Roman" w:cs="Times New Roman"/>
          <w:sz w:val="28"/>
          <w:szCs w:val="28"/>
        </w:rPr>
        <w:t> </w:t>
      </w:r>
      <w:r w:rsidR="00EE5178" w:rsidRPr="00D043C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22188" w:rsidRPr="00D043CC">
        <w:rPr>
          <w:rFonts w:ascii="Times New Roman" w:hAnsi="Times New Roman" w:cs="Times New Roman"/>
          <w:sz w:val="28"/>
          <w:szCs w:val="28"/>
        </w:rPr>
        <w:t>организации на федеральном уровне повышения</w:t>
      </w:r>
      <w:r w:rsidR="00422188" w:rsidRPr="007B3758">
        <w:rPr>
          <w:rFonts w:ascii="Times New Roman" w:hAnsi="Times New Roman" w:cs="Times New Roman"/>
          <w:sz w:val="28"/>
          <w:szCs w:val="28"/>
        </w:rPr>
        <w:t xml:space="preserve"> квалификации должностных лиц,  уполномоченных на осуществление </w:t>
      </w:r>
      <w:proofErr w:type="gramStart"/>
      <w:r w:rsidR="00422188" w:rsidRPr="007B37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2188" w:rsidRPr="007B3758">
        <w:rPr>
          <w:rFonts w:ascii="Times New Roman" w:hAnsi="Times New Roman" w:cs="Times New Roman"/>
          <w:sz w:val="28"/>
          <w:szCs w:val="28"/>
        </w:rPr>
        <w:t xml:space="preserve"> исполнением лицензионных требований и условий</w:t>
      </w:r>
      <w:r w:rsidR="00E12DA3" w:rsidRPr="007B3758">
        <w:rPr>
          <w:rFonts w:ascii="Times New Roman" w:hAnsi="Times New Roman" w:cs="Times New Roman"/>
          <w:sz w:val="28"/>
          <w:szCs w:val="28"/>
        </w:rPr>
        <w:t>.</w:t>
      </w:r>
      <w:r w:rsidR="00422188" w:rsidRPr="007B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0B" w:rsidRDefault="00773206" w:rsidP="0045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58">
        <w:rPr>
          <w:rFonts w:ascii="Times New Roman" w:hAnsi="Times New Roman" w:cs="Times New Roman"/>
          <w:sz w:val="28"/>
          <w:szCs w:val="28"/>
        </w:rPr>
        <w:t>3</w:t>
      </w:r>
      <w:r w:rsidR="00E12DA3" w:rsidRPr="007B3758">
        <w:rPr>
          <w:rFonts w:ascii="Times New Roman" w:hAnsi="Times New Roman" w:cs="Times New Roman"/>
          <w:sz w:val="28"/>
          <w:szCs w:val="28"/>
        </w:rPr>
        <w:t>.</w:t>
      </w:r>
      <w:r w:rsidR="008D4021" w:rsidRPr="007B3758">
        <w:rPr>
          <w:rFonts w:ascii="Times New Roman" w:hAnsi="Times New Roman" w:cs="Times New Roman"/>
          <w:sz w:val="28"/>
          <w:szCs w:val="28"/>
        </w:rPr>
        <w:t> </w:t>
      </w:r>
      <w:r w:rsidR="00E12DA3" w:rsidRPr="007B375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22188" w:rsidRPr="007B3758">
        <w:rPr>
          <w:rFonts w:ascii="Times New Roman" w:hAnsi="Times New Roman" w:cs="Times New Roman"/>
          <w:sz w:val="28"/>
          <w:szCs w:val="28"/>
        </w:rPr>
        <w:t>организ</w:t>
      </w:r>
      <w:r w:rsidR="004424F9" w:rsidRPr="007B3758">
        <w:rPr>
          <w:rFonts w:ascii="Times New Roman" w:hAnsi="Times New Roman" w:cs="Times New Roman"/>
          <w:sz w:val="28"/>
          <w:szCs w:val="28"/>
        </w:rPr>
        <w:t>ации</w:t>
      </w:r>
      <w:r w:rsidR="00422188" w:rsidRPr="007B3758">
        <w:rPr>
          <w:rFonts w:ascii="Times New Roman" w:hAnsi="Times New Roman" w:cs="Times New Roman"/>
          <w:sz w:val="28"/>
          <w:szCs w:val="28"/>
        </w:rPr>
        <w:t xml:space="preserve"> </w:t>
      </w:r>
      <w:r w:rsidR="004424F9" w:rsidRPr="007B3758">
        <w:rPr>
          <w:rFonts w:ascii="Times New Roman" w:hAnsi="Times New Roman" w:cs="Times New Roman"/>
          <w:sz w:val="28"/>
          <w:szCs w:val="28"/>
        </w:rPr>
        <w:t xml:space="preserve"> </w:t>
      </w:r>
      <w:r w:rsidR="00422188" w:rsidRPr="007B3758">
        <w:rPr>
          <w:rFonts w:ascii="Times New Roman" w:hAnsi="Times New Roman" w:cs="Times New Roman"/>
          <w:sz w:val="28"/>
          <w:szCs w:val="28"/>
        </w:rPr>
        <w:t xml:space="preserve">совещаний (семинаров) на федеральном уровне (в том числе </w:t>
      </w:r>
      <w:r w:rsidR="004424F9" w:rsidRPr="007B3758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 w:rsidR="00422188" w:rsidRPr="007B3758">
        <w:rPr>
          <w:rFonts w:ascii="Times New Roman" w:hAnsi="Times New Roman" w:cs="Times New Roman"/>
          <w:sz w:val="28"/>
          <w:szCs w:val="28"/>
        </w:rPr>
        <w:t xml:space="preserve">) по вопросам осуществления </w:t>
      </w:r>
      <w:proofErr w:type="gramStart"/>
      <w:r w:rsidR="00422188" w:rsidRPr="007B37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2188" w:rsidRPr="007B3758">
        <w:rPr>
          <w:rFonts w:ascii="Times New Roman" w:hAnsi="Times New Roman" w:cs="Times New Roman"/>
          <w:sz w:val="28"/>
          <w:szCs w:val="28"/>
        </w:rPr>
        <w:t xml:space="preserve"> соблюдением лицензиатом лицензионных требований, лицензирования образовательной деятельности</w:t>
      </w:r>
      <w:r w:rsidR="004424F9" w:rsidRPr="007B3758">
        <w:rPr>
          <w:rFonts w:ascii="Times New Roman" w:hAnsi="Times New Roman" w:cs="Times New Roman"/>
          <w:sz w:val="28"/>
          <w:szCs w:val="28"/>
        </w:rPr>
        <w:t>.</w:t>
      </w:r>
      <w:r w:rsidR="004424F9" w:rsidRPr="00421A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520B" w:rsidSect="00423540">
      <w:headerReference w:type="default" r:id="rId21"/>
      <w:pgSz w:w="12240" w:h="1584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F1" w:rsidRDefault="00BE5CF1">
      <w:pPr>
        <w:spacing w:after="0" w:line="240" w:lineRule="auto"/>
      </w:pPr>
      <w:r>
        <w:separator/>
      </w:r>
    </w:p>
  </w:endnote>
  <w:endnote w:type="continuationSeparator" w:id="0">
    <w:p w:rsidR="00BE5CF1" w:rsidRDefault="00B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F1" w:rsidRDefault="00BE5CF1">
      <w:pPr>
        <w:spacing w:after="0" w:line="240" w:lineRule="auto"/>
      </w:pPr>
      <w:r>
        <w:separator/>
      </w:r>
    </w:p>
  </w:footnote>
  <w:footnote w:type="continuationSeparator" w:id="0">
    <w:p w:rsidR="00BE5CF1" w:rsidRDefault="00BE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F1" w:rsidRDefault="004E57F1" w:rsidP="00423540">
    <w:pPr>
      <w:pStyle w:val="a5"/>
      <w:jc w:val="center"/>
    </w:pPr>
    <w:r w:rsidRPr="00483B68">
      <w:rPr>
        <w:sz w:val="20"/>
        <w:szCs w:val="20"/>
      </w:rPr>
      <w:fldChar w:fldCharType="begin"/>
    </w:r>
    <w:r w:rsidRPr="00483B68">
      <w:rPr>
        <w:sz w:val="20"/>
        <w:szCs w:val="20"/>
      </w:rPr>
      <w:instrText xml:space="preserve"> PAGE   \* MERGEFORMAT </w:instrText>
    </w:r>
    <w:r w:rsidRPr="00483B68">
      <w:rPr>
        <w:sz w:val="20"/>
        <w:szCs w:val="20"/>
      </w:rPr>
      <w:fldChar w:fldCharType="separate"/>
    </w:r>
    <w:r w:rsidR="00B507EE">
      <w:rPr>
        <w:noProof/>
        <w:sz w:val="20"/>
        <w:szCs w:val="20"/>
      </w:rPr>
      <w:t>9</w:t>
    </w:r>
    <w:r w:rsidRPr="00483B6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A07C0E"/>
    <w:lvl w:ilvl="0">
      <w:numFmt w:val="bullet"/>
      <w:lvlText w:val="*"/>
      <w:lvlJc w:val="left"/>
    </w:lvl>
  </w:abstractNum>
  <w:abstractNum w:abstractNumId="1">
    <w:nsid w:val="07823745"/>
    <w:multiLevelType w:val="hybridMultilevel"/>
    <w:tmpl w:val="14324226"/>
    <w:lvl w:ilvl="0" w:tplc="F442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0355C"/>
    <w:multiLevelType w:val="hybridMultilevel"/>
    <w:tmpl w:val="3490D184"/>
    <w:lvl w:ilvl="0" w:tplc="7DC42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A22"/>
    <w:multiLevelType w:val="hybridMultilevel"/>
    <w:tmpl w:val="A202A058"/>
    <w:lvl w:ilvl="0" w:tplc="24BEF8E8">
      <w:start w:val="1"/>
      <w:numFmt w:val="decimal"/>
      <w:lvlText w:val="%1"/>
      <w:lvlJc w:val="left"/>
      <w:pPr>
        <w:ind w:left="2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 w:tentative="1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4">
    <w:nsid w:val="39AE0D8F"/>
    <w:multiLevelType w:val="hybridMultilevel"/>
    <w:tmpl w:val="3BB63680"/>
    <w:lvl w:ilvl="0" w:tplc="D68A1E9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08B5167"/>
    <w:multiLevelType w:val="hybridMultilevel"/>
    <w:tmpl w:val="E55EFB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FB6C1B"/>
    <w:multiLevelType w:val="hybridMultilevel"/>
    <w:tmpl w:val="74E8481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4537341"/>
    <w:multiLevelType w:val="hybridMultilevel"/>
    <w:tmpl w:val="C9126446"/>
    <w:lvl w:ilvl="0" w:tplc="719872E2">
      <w:start w:val="1"/>
      <w:numFmt w:val="decimal"/>
      <w:lvlText w:val="%1."/>
      <w:lvlJc w:val="left"/>
      <w:pPr>
        <w:ind w:left="3587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44C451EB"/>
    <w:multiLevelType w:val="hybridMultilevel"/>
    <w:tmpl w:val="BD2279AE"/>
    <w:lvl w:ilvl="0" w:tplc="D416F6FC">
      <w:start w:val="1"/>
      <w:numFmt w:val="decimal"/>
      <w:lvlText w:val="%1."/>
      <w:lvlJc w:val="left"/>
      <w:pPr>
        <w:ind w:left="2629" w:hanging="360"/>
      </w:pPr>
      <w:rPr>
        <w:rFonts w:eastAsia="Times New Roman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5CC5A2A"/>
    <w:multiLevelType w:val="hybridMultilevel"/>
    <w:tmpl w:val="92ECE044"/>
    <w:lvl w:ilvl="0" w:tplc="312857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CD5AC2"/>
    <w:multiLevelType w:val="multilevel"/>
    <w:tmpl w:val="6B10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F2A02"/>
    <w:multiLevelType w:val="hybridMultilevel"/>
    <w:tmpl w:val="A76EADCC"/>
    <w:lvl w:ilvl="0" w:tplc="82742BB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A24B5"/>
    <w:multiLevelType w:val="hybridMultilevel"/>
    <w:tmpl w:val="053C44A2"/>
    <w:lvl w:ilvl="0" w:tplc="DC9CD6A6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3">
    <w:nsid w:val="518B0B50"/>
    <w:multiLevelType w:val="multilevel"/>
    <w:tmpl w:val="6B10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764D1"/>
    <w:multiLevelType w:val="hybridMultilevel"/>
    <w:tmpl w:val="E688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57A65"/>
    <w:multiLevelType w:val="hybridMultilevel"/>
    <w:tmpl w:val="99D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B25E8"/>
    <w:multiLevelType w:val="hybridMultilevel"/>
    <w:tmpl w:val="E1B8F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22340"/>
    <w:multiLevelType w:val="hybridMultilevel"/>
    <w:tmpl w:val="217278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  <w:rPr>
        <w:rFonts w:cs="Times New Roman"/>
      </w:rPr>
    </w:lvl>
  </w:abstractNum>
  <w:abstractNum w:abstractNumId="18">
    <w:nsid w:val="658F6563"/>
    <w:multiLevelType w:val="hybridMultilevel"/>
    <w:tmpl w:val="4FE0A684"/>
    <w:lvl w:ilvl="0" w:tplc="0B80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640F6"/>
    <w:multiLevelType w:val="hybridMultilevel"/>
    <w:tmpl w:val="A61AC854"/>
    <w:lvl w:ilvl="0" w:tplc="A80A1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3EC78D3"/>
    <w:multiLevelType w:val="hybridMultilevel"/>
    <w:tmpl w:val="1C7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20"/>
  </w:num>
  <w:num w:numId="10">
    <w:abstractNumId w:val="16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D"/>
    <w:rsid w:val="000011BC"/>
    <w:rsid w:val="00001789"/>
    <w:rsid w:val="0000437F"/>
    <w:rsid w:val="00004429"/>
    <w:rsid w:val="00006479"/>
    <w:rsid w:val="00007C14"/>
    <w:rsid w:val="00015DD5"/>
    <w:rsid w:val="00015EC9"/>
    <w:rsid w:val="00017FFB"/>
    <w:rsid w:val="00023028"/>
    <w:rsid w:val="00025451"/>
    <w:rsid w:val="00027DBA"/>
    <w:rsid w:val="0003043E"/>
    <w:rsid w:val="000372F5"/>
    <w:rsid w:val="00037964"/>
    <w:rsid w:val="00037F93"/>
    <w:rsid w:val="00043816"/>
    <w:rsid w:val="00052BF9"/>
    <w:rsid w:val="00053D72"/>
    <w:rsid w:val="00053E25"/>
    <w:rsid w:val="0005428E"/>
    <w:rsid w:val="00054791"/>
    <w:rsid w:val="00055D30"/>
    <w:rsid w:val="00056355"/>
    <w:rsid w:val="000565AC"/>
    <w:rsid w:val="0005749B"/>
    <w:rsid w:val="00061BF3"/>
    <w:rsid w:val="000629A3"/>
    <w:rsid w:val="000652EC"/>
    <w:rsid w:val="00073BF1"/>
    <w:rsid w:val="00076262"/>
    <w:rsid w:val="00080310"/>
    <w:rsid w:val="00081B6C"/>
    <w:rsid w:val="00082400"/>
    <w:rsid w:val="00086D18"/>
    <w:rsid w:val="000875C6"/>
    <w:rsid w:val="00091675"/>
    <w:rsid w:val="00092043"/>
    <w:rsid w:val="00093E79"/>
    <w:rsid w:val="000968D1"/>
    <w:rsid w:val="000A10B1"/>
    <w:rsid w:val="000A2F84"/>
    <w:rsid w:val="000A4B4A"/>
    <w:rsid w:val="000A7A09"/>
    <w:rsid w:val="000B1200"/>
    <w:rsid w:val="000B2D89"/>
    <w:rsid w:val="000B35FD"/>
    <w:rsid w:val="000C048B"/>
    <w:rsid w:val="000C6A34"/>
    <w:rsid w:val="000D0AE6"/>
    <w:rsid w:val="000D1893"/>
    <w:rsid w:val="000D33B2"/>
    <w:rsid w:val="000D43DE"/>
    <w:rsid w:val="000D51C9"/>
    <w:rsid w:val="000E1D7F"/>
    <w:rsid w:val="000E3F05"/>
    <w:rsid w:val="000E612C"/>
    <w:rsid w:val="000F1392"/>
    <w:rsid w:val="000F3846"/>
    <w:rsid w:val="000F4B9F"/>
    <w:rsid w:val="00102230"/>
    <w:rsid w:val="00103772"/>
    <w:rsid w:val="001071E4"/>
    <w:rsid w:val="00107250"/>
    <w:rsid w:val="00110F38"/>
    <w:rsid w:val="001164BF"/>
    <w:rsid w:val="0011726B"/>
    <w:rsid w:val="00121BB8"/>
    <w:rsid w:val="00123AE1"/>
    <w:rsid w:val="00124D22"/>
    <w:rsid w:val="00134503"/>
    <w:rsid w:val="00145F0E"/>
    <w:rsid w:val="00147743"/>
    <w:rsid w:val="00147C1C"/>
    <w:rsid w:val="00147DE9"/>
    <w:rsid w:val="00160E91"/>
    <w:rsid w:val="0017355E"/>
    <w:rsid w:val="00174995"/>
    <w:rsid w:val="001758FC"/>
    <w:rsid w:val="00175B23"/>
    <w:rsid w:val="001765D7"/>
    <w:rsid w:val="00180367"/>
    <w:rsid w:val="00183770"/>
    <w:rsid w:val="00185F21"/>
    <w:rsid w:val="001877E9"/>
    <w:rsid w:val="00191DAB"/>
    <w:rsid w:val="00192C05"/>
    <w:rsid w:val="00195AEA"/>
    <w:rsid w:val="00197732"/>
    <w:rsid w:val="001A1E97"/>
    <w:rsid w:val="001A3D4D"/>
    <w:rsid w:val="001B0636"/>
    <w:rsid w:val="001B102F"/>
    <w:rsid w:val="001B1162"/>
    <w:rsid w:val="001B4CB2"/>
    <w:rsid w:val="001C2115"/>
    <w:rsid w:val="001C2A48"/>
    <w:rsid w:val="001C35B3"/>
    <w:rsid w:val="001C4CA4"/>
    <w:rsid w:val="001D00A2"/>
    <w:rsid w:val="001D2010"/>
    <w:rsid w:val="001D41CE"/>
    <w:rsid w:val="001D4245"/>
    <w:rsid w:val="001E3B6B"/>
    <w:rsid w:val="001F16D5"/>
    <w:rsid w:val="00200886"/>
    <w:rsid w:val="00203A96"/>
    <w:rsid w:val="0020544A"/>
    <w:rsid w:val="00207227"/>
    <w:rsid w:val="0021076B"/>
    <w:rsid w:val="00211F28"/>
    <w:rsid w:val="0021535D"/>
    <w:rsid w:val="00215B83"/>
    <w:rsid w:val="00222223"/>
    <w:rsid w:val="00224E7B"/>
    <w:rsid w:val="002264D4"/>
    <w:rsid w:val="002275D7"/>
    <w:rsid w:val="002309FF"/>
    <w:rsid w:val="00233EE0"/>
    <w:rsid w:val="00234ADC"/>
    <w:rsid w:val="00235F47"/>
    <w:rsid w:val="00241B9D"/>
    <w:rsid w:val="00243A73"/>
    <w:rsid w:val="0024481F"/>
    <w:rsid w:val="00250487"/>
    <w:rsid w:val="00250E4F"/>
    <w:rsid w:val="00256625"/>
    <w:rsid w:val="00256898"/>
    <w:rsid w:val="002568DB"/>
    <w:rsid w:val="0025695F"/>
    <w:rsid w:val="00264550"/>
    <w:rsid w:val="0027063B"/>
    <w:rsid w:val="0027489A"/>
    <w:rsid w:val="00281CF9"/>
    <w:rsid w:val="00287524"/>
    <w:rsid w:val="0029074C"/>
    <w:rsid w:val="00290858"/>
    <w:rsid w:val="002912F7"/>
    <w:rsid w:val="00295959"/>
    <w:rsid w:val="002962E2"/>
    <w:rsid w:val="00296FF5"/>
    <w:rsid w:val="002A0FA6"/>
    <w:rsid w:val="002A6A23"/>
    <w:rsid w:val="002B0A8D"/>
    <w:rsid w:val="002B1BA9"/>
    <w:rsid w:val="002B22F1"/>
    <w:rsid w:val="002B2D0D"/>
    <w:rsid w:val="002C04E1"/>
    <w:rsid w:val="002C1EF9"/>
    <w:rsid w:val="002C2A2D"/>
    <w:rsid w:val="002C7E66"/>
    <w:rsid w:val="002D008F"/>
    <w:rsid w:val="002D1B5F"/>
    <w:rsid w:val="002D4E69"/>
    <w:rsid w:val="002D6FC9"/>
    <w:rsid w:val="002E1D28"/>
    <w:rsid w:val="002E4ED2"/>
    <w:rsid w:val="002E7149"/>
    <w:rsid w:val="002E768F"/>
    <w:rsid w:val="002E7FFA"/>
    <w:rsid w:val="002F1C5E"/>
    <w:rsid w:val="002F4A59"/>
    <w:rsid w:val="002F6581"/>
    <w:rsid w:val="002F7E32"/>
    <w:rsid w:val="00301C57"/>
    <w:rsid w:val="003027C5"/>
    <w:rsid w:val="0030426E"/>
    <w:rsid w:val="003063EF"/>
    <w:rsid w:val="00307C30"/>
    <w:rsid w:val="003107C1"/>
    <w:rsid w:val="003111FB"/>
    <w:rsid w:val="00313FAD"/>
    <w:rsid w:val="00317147"/>
    <w:rsid w:val="00322FD0"/>
    <w:rsid w:val="00323292"/>
    <w:rsid w:val="0032720F"/>
    <w:rsid w:val="0032787B"/>
    <w:rsid w:val="00331052"/>
    <w:rsid w:val="00336968"/>
    <w:rsid w:val="00347D2A"/>
    <w:rsid w:val="003549C5"/>
    <w:rsid w:val="003549E8"/>
    <w:rsid w:val="00356373"/>
    <w:rsid w:val="0036309F"/>
    <w:rsid w:val="003662C7"/>
    <w:rsid w:val="00371D50"/>
    <w:rsid w:val="0037328C"/>
    <w:rsid w:val="00377904"/>
    <w:rsid w:val="00377FA8"/>
    <w:rsid w:val="00380EDD"/>
    <w:rsid w:val="00382B71"/>
    <w:rsid w:val="00384575"/>
    <w:rsid w:val="00385C5D"/>
    <w:rsid w:val="00392740"/>
    <w:rsid w:val="003927DF"/>
    <w:rsid w:val="0039313F"/>
    <w:rsid w:val="00393CEB"/>
    <w:rsid w:val="00395F29"/>
    <w:rsid w:val="003A0D52"/>
    <w:rsid w:val="003A1BC4"/>
    <w:rsid w:val="003A23BF"/>
    <w:rsid w:val="003A520B"/>
    <w:rsid w:val="003A521C"/>
    <w:rsid w:val="003B259B"/>
    <w:rsid w:val="003C1AFB"/>
    <w:rsid w:val="003C2E33"/>
    <w:rsid w:val="003D1A73"/>
    <w:rsid w:val="003E05DC"/>
    <w:rsid w:val="003E1C44"/>
    <w:rsid w:val="003E3B02"/>
    <w:rsid w:val="003E6FE1"/>
    <w:rsid w:val="003F4DA4"/>
    <w:rsid w:val="003F68CF"/>
    <w:rsid w:val="0040127A"/>
    <w:rsid w:val="00404D18"/>
    <w:rsid w:val="00406625"/>
    <w:rsid w:val="004075D8"/>
    <w:rsid w:val="0041014E"/>
    <w:rsid w:val="00410666"/>
    <w:rsid w:val="00411673"/>
    <w:rsid w:val="00412EAC"/>
    <w:rsid w:val="00414A97"/>
    <w:rsid w:val="00414AB6"/>
    <w:rsid w:val="00414D1B"/>
    <w:rsid w:val="0041576D"/>
    <w:rsid w:val="0041666D"/>
    <w:rsid w:val="00420476"/>
    <w:rsid w:val="004205DC"/>
    <w:rsid w:val="00421A42"/>
    <w:rsid w:val="00422188"/>
    <w:rsid w:val="00423540"/>
    <w:rsid w:val="0042515D"/>
    <w:rsid w:val="004258E3"/>
    <w:rsid w:val="00431B43"/>
    <w:rsid w:val="004348FB"/>
    <w:rsid w:val="00440CA9"/>
    <w:rsid w:val="004419A1"/>
    <w:rsid w:val="004424F9"/>
    <w:rsid w:val="00444148"/>
    <w:rsid w:val="00446037"/>
    <w:rsid w:val="0045218F"/>
    <w:rsid w:val="0045313B"/>
    <w:rsid w:val="00453AAA"/>
    <w:rsid w:val="00454F88"/>
    <w:rsid w:val="00460A20"/>
    <w:rsid w:val="00460A5E"/>
    <w:rsid w:val="0046623B"/>
    <w:rsid w:val="00470EA8"/>
    <w:rsid w:val="004732F9"/>
    <w:rsid w:val="00481F33"/>
    <w:rsid w:val="00482E5D"/>
    <w:rsid w:val="0049071B"/>
    <w:rsid w:val="00490EFC"/>
    <w:rsid w:val="00493669"/>
    <w:rsid w:val="00494241"/>
    <w:rsid w:val="0049628D"/>
    <w:rsid w:val="004A02F3"/>
    <w:rsid w:val="004A2D12"/>
    <w:rsid w:val="004A7279"/>
    <w:rsid w:val="004B0488"/>
    <w:rsid w:val="004B5374"/>
    <w:rsid w:val="004B59E8"/>
    <w:rsid w:val="004B5A3C"/>
    <w:rsid w:val="004B5EDC"/>
    <w:rsid w:val="004B76DC"/>
    <w:rsid w:val="004C1D7A"/>
    <w:rsid w:val="004C52E0"/>
    <w:rsid w:val="004C53CF"/>
    <w:rsid w:val="004C54AA"/>
    <w:rsid w:val="004C67D1"/>
    <w:rsid w:val="004D151F"/>
    <w:rsid w:val="004D2BB1"/>
    <w:rsid w:val="004D4B95"/>
    <w:rsid w:val="004D4FFC"/>
    <w:rsid w:val="004E02C0"/>
    <w:rsid w:val="004E0816"/>
    <w:rsid w:val="004E0B02"/>
    <w:rsid w:val="004E0DA9"/>
    <w:rsid w:val="004E0DF2"/>
    <w:rsid w:val="004E57F1"/>
    <w:rsid w:val="004E5F02"/>
    <w:rsid w:val="004F093E"/>
    <w:rsid w:val="004F157F"/>
    <w:rsid w:val="004F18AF"/>
    <w:rsid w:val="004F1E7F"/>
    <w:rsid w:val="004F4724"/>
    <w:rsid w:val="004F4985"/>
    <w:rsid w:val="00502D27"/>
    <w:rsid w:val="00503805"/>
    <w:rsid w:val="00506F4D"/>
    <w:rsid w:val="005077F3"/>
    <w:rsid w:val="00510906"/>
    <w:rsid w:val="00511D99"/>
    <w:rsid w:val="005124DB"/>
    <w:rsid w:val="005158EA"/>
    <w:rsid w:val="005171F7"/>
    <w:rsid w:val="00531774"/>
    <w:rsid w:val="005335D1"/>
    <w:rsid w:val="005415A6"/>
    <w:rsid w:val="00546258"/>
    <w:rsid w:val="00551776"/>
    <w:rsid w:val="00552E28"/>
    <w:rsid w:val="00556A86"/>
    <w:rsid w:val="00562658"/>
    <w:rsid w:val="00564ADE"/>
    <w:rsid w:val="00566D42"/>
    <w:rsid w:val="00570B95"/>
    <w:rsid w:val="00571D73"/>
    <w:rsid w:val="005728D2"/>
    <w:rsid w:val="00574057"/>
    <w:rsid w:val="005750AB"/>
    <w:rsid w:val="00577F8C"/>
    <w:rsid w:val="00580801"/>
    <w:rsid w:val="005828A9"/>
    <w:rsid w:val="00585264"/>
    <w:rsid w:val="00585506"/>
    <w:rsid w:val="00586A06"/>
    <w:rsid w:val="0059141F"/>
    <w:rsid w:val="00593017"/>
    <w:rsid w:val="005944E2"/>
    <w:rsid w:val="005959C5"/>
    <w:rsid w:val="0059652B"/>
    <w:rsid w:val="00596DA6"/>
    <w:rsid w:val="005A0075"/>
    <w:rsid w:val="005A0F31"/>
    <w:rsid w:val="005A1443"/>
    <w:rsid w:val="005A4A3A"/>
    <w:rsid w:val="005A6C24"/>
    <w:rsid w:val="005A6E43"/>
    <w:rsid w:val="005B3A65"/>
    <w:rsid w:val="005B66D6"/>
    <w:rsid w:val="005C1DAF"/>
    <w:rsid w:val="005C3D4D"/>
    <w:rsid w:val="005C5231"/>
    <w:rsid w:val="005C5C2A"/>
    <w:rsid w:val="005C7857"/>
    <w:rsid w:val="005C7964"/>
    <w:rsid w:val="005D285C"/>
    <w:rsid w:val="005D4A49"/>
    <w:rsid w:val="005D5610"/>
    <w:rsid w:val="005D5D4F"/>
    <w:rsid w:val="005E11A1"/>
    <w:rsid w:val="005E13CC"/>
    <w:rsid w:val="005E293F"/>
    <w:rsid w:val="005E5CBA"/>
    <w:rsid w:val="005F029E"/>
    <w:rsid w:val="005F0941"/>
    <w:rsid w:val="005F1045"/>
    <w:rsid w:val="00602317"/>
    <w:rsid w:val="00602A76"/>
    <w:rsid w:val="0060712D"/>
    <w:rsid w:val="006075FB"/>
    <w:rsid w:val="00613381"/>
    <w:rsid w:val="00616473"/>
    <w:rsid w:val="00620F1F"/>
    <w:rsid w:val="00621497"/>
    <w:rsid w:val="00625B51"/>
    <w:rsid w:val="00627DB9"/>
    <w:rsid w:val="00631C59"/>
    <w:rsid w:val="006327A3"/>
    <w:rsid w:val="00632CF1"/>
    <w:rsid w:val="00633223"/>
    <w:rsid w:val="006339D0"/>
    <w:rsid w:val="00635A77"/>
    <w:rsid w:val="00640213"/>
    <w:rsid w:val="00641DB5"/>
    <w:rsid w:val="00642698"/>
    <w:rsid w:val="00643837"/>
    <w:rsid w:val="006457C0"/>
    <w:rsid w:val="006522B0"/>
    <w:rsid w:val="00653040"/>
    <w:rsid w:val="006531A8"/>
    <w:rsid w:val="00654FC2"/>
    <w:rsid w:val="006550A8"/>
    <w:rsid w:val="00661CB9"/>
    <w:rsid w:val="00663649"/>
    <w:rsid w:val="00664CA5"/>
    <w:rsid w:val="006655B8"/>
    <w:rsid w:val="00666ABE"/>
    <w:rsid w:val="00667622"/>
    <w:rsid w:val="00670C7C"/>
    <w:rsid w:val="00672293"/>
    <w:rsid w:val="00673287"/>
    <w:rsid w:val="00675283"/>
    <w:rsid w:val="0068387A"/>
    <w:rsid w:val="00685F55"/>
    <w:rsid w:val="00687816"/>
    <w:rsid w:val="00687C48"/>
    <w:rsid w:val="00691EC6"/>
    <w:rsid w:val="006949EB"/>
    <w:rsid w:val="006A0934"/>
    <w:rsid w:val="006A44DB"/>
    <w:rsid w:val="006B023D"/>
    <w:rsid w:val="006B3AF8"/>
    <w:rsid w:val="006B6404"/>
    <w:rsid w:val="006B68C8"/>
    <w:rsid w:val="006C3885"/>
    <w:rsid w:val="006D685E"/>
    <w:rsid w:val="006D799A"/>
    <w:rsid w:val="006E0D35"/>
    <w:rsid w:val="006E1A7D"/>
    <w:rsid w:val="006E561E"/>
    <w:rsid w:val="006F0D31"/>
    <w:rsid w:val="006F1A7D"/>
    <w:rsid w:val="006F27EA"/>
    <w:rsid w:val="006F2963"/>
    <w:rsid w:val="006F2BAD"/>
    <w:rsid w:val="006F7F98"/>
    <w:rsid w:val="007009FC"/>
    <w:rsid w:val="00700EB3"/>
    <w:rsid w:val="00706E7E"/>
    <w:rsid w:val="007200DE"/>
    <w:rsid w:val="007219CB"/>
    <w:rsid w:val="00722B61"/>
    <w:rsid w:val="007232B4"/>
    <w:rsid w:val="00726AAE"/>
    <w:rsid w:val="007277F0"/>
    <w:rsid w:val="0073285D"/>
    <w:rsid w:val="007345A0"/>
    <w:rsid w:val="0074054F"/>
    <w:rsid w:val="007429A6"/>
    <w:rsid w:val="0074324D"/>
    <w:rsid w:val="007439CE"/>
    <w:rsid w:val="00752145"/>
    <w:rsid w:val="00752C89"/>
    <w:rsid w:val="007535E6"/>
    <w:rsid w:val="00753622"/>
    <w:rsid w:val="00756CC4"/>
    <w:rsid w:val="00773206"/>
    <w:rsid w:val="00777B24"/>
    <w:rsid w:val="0078143A"/>
    <w:rsid w:val="0078740F"/>
    <w:rsid w:val="007906A6"/>
    <w:rsid w:val="007930A1"/>
    <w:rsid w:val="00795F22"/>
    <w:rsid w:val="007A28E3"/>
    <w:rsid w:val="007A3140"/>
    <w:rsid w:val="007A4492"/>
    <w:rsid w:val="007B00B3"/>
    <w:rsid w:val="007B1936"/>
    <w:rsid w:val="007B2D7E"/>
    <w:rsid w:val="007B3758"/>
    <w:rsid w:val="007C4382"/>
    <w:rsid w:val="007C450F"/>
    <w:rsid w:val="007C779B"/>
    <w:rsid w:val="007D78CD"/>
    <w:rsid w:val="007E02EE"/>
    <w:rsid w:val="007E2FBC"/>
    <w:rsid w:val="007E5680"/>
    <w:rsid w:val="007F0E0D"/>
    <w:rsid w:val="007F18E9"/>
    <w:rsid w:val="007F67BC"/>
    <w:rsid w:val="00800B70"/>
    <w:rsid w:val="00801555"/>
    <w:rsid w:val="00802AD4"/>
    <w:rsid w:val="00804688"/>
    <w:rsid w:val="00807037"/>
    <w:rsid w:val="00810FA8"/>
    <w:rsid w:val="00812D78"/>
    <w:rsid w:val="00812E99"/>
    <w:rsid w:val="00820EDD"/>
    <w:rsid w:val="00824FD5"/>
    <w:rsid w:val="008261DE"/>
    <w:rsid w:val="00826921"/>
    <w:rsid w:val="0083158D"/>
    <w:rsid w:val="0083266A"/>
    <w:rsid w:val="00845CB4"/>
    <w:rsid w:val="008561F0"/>
    <w:rsid w:val="00856CCB"/>
    <w:rsid w:val="00865A7F"/>
    <w:rsid w:val="00870AAF"/>
    <w:rsid w:val="00870C41"/>
    <w:rsid w:val="00873AEA"/>
    <w:rsid w:val="00874A6F"/>
    <w:rsid w:val="00876C19"/>
    <w:rsid w:val="0088137B"/>
    <w:rsid w:val="00881B3E"/>
    <w:rsid w:val="008829FA"/>
    <w:rsid w:val="00886C8E"/>
    <w:rsid w:val="00891DDD"/>
    <w:rsid w:val="008970E4"/>
    <w:rsid w:val="008A5F90"/>
    <w:rsid w:val="008A6FC3"/>
    <w:rsid w:val="008A7065"/>
    <w:rsid w:val="008A7681"/>
    <w:rsid w:val="008B1039"/>
    <w:rsid w:val="008B1755"/>
    <w:rsid w:val="008B1DBD"/>
    <w:rsid w:val="008B2EAA"/>
    <w:rsid w:val="008B4EBB"/>
    <w:rsid w:val="008C41D9"/>
    <w:rsid w:val="008C5DC6"/>
    <w:rsid w:val="008C7D27"/>
    <w:rsid w:val="008D4021"/>
    <w:rsid w:val="008D4DFB"/>
    <w:rsid w:val="008E5E04"/>
    <w:rsid w:val="008F1BB4"/>
    <w:rsid w:val="008F63AE"/>
    <w:rsid w:val="009000D9"/>
    <w:rsid w:val="00902B0C"/>
    <w:rsid w:val="0090361B"/>
    <w:rsid w:val="00913A17"/>
    <w:rsid w:val="00913B87"/>
    <w:rsid w:val="0091698A"/>
    <w:rsid w:val="0092304B"/>
    <w:rsid w:val="009241CE"/>
    <w:rsid w:val="00936793"/>
    <w:rsid w:val="009418BB"/>
    <w:rsid w:val="00945E4D"/>
    <w:rsid w:val="00947915"/>
    <w:rsid w:val="0095211C"/>
    <w:rsid w:val="00952486"/>
    <w:rsid w:val="009566ED"/>
    <w:rsid w:val="00960572"/>
    <w:rsid w:val="00961C20"/>
    <w:rsid w:val="009622DF"/>
    <w:rsid w:val="00963507"/>
    <w:rsid w:val="00963CF8"/>
    <w:rsid w:val="00964B3F"/>
    <w:rsid w:val="00964E2C"/>
    <w:rsid w:val="0097061B"/>
    <w:rsid w:val="00970824"/>
    <w:rsid w:val="00970F80"/>
    <w:rsid w:val="0097371C"/>
    <w:rsid w:val="00973D5E"/>
    <w:rsid w:val="00977267"/>
    <w:rsid w:val="00980244"/>
    <w:rsid w:val="00980731"/>
    <w:rsid w:val="00981B6B"/>
    <w:rsid w:val="00982838"/>
    <w:rsid w:val="009847C5"/>
    <w:rsid w:val="009859EB"/>
    <w:rsid w:val="009903F1"/>
    <w:rsid w:val="00993FFB"/>
    <w:rsid w:val="009943AC"/>
    <w:rsid w:val="009977A2"/>
    <w:rsid w:val="00997DEB"/>
    <w:rsid w:val="009A15F6"/>
    <w:rsid w:val="009A6F3C"/>
    <w:rsid w:val="009A74B9"/>
    <w:rsid w:val="009A7AD2"/>
    <w:rsid w:val="009B33CD"/>
    <w:rsid w:val="009B5739"/>
    <w:rsid w:val="009B5779"/>
    <w:rsid w:val="009B7D94"/>
    <w:rsid w:val="009C16FD"/>
    <w:rsid w:val="009C230E"/>
    <w:rsid w:val="009C29D4"/>
    <w:rsid w:val="009C6983"/>
    <w:rsid w:val="009C6E9D"/>
    <w:rsid w:val="009D0D03"/>
    <w:rsid w:val="009D31E1"/>
    <w:rsid w:val="009E0D78"/>
    <w:rsid w:val="009E14AE"/>
    <w:rsid w:val="009E2C7F"/>
    <w:rsid w:val="009E477E"/>
    <w:rsid w:val="009E7117"/>
    <w:rsid w:val="009F195B"/>
    <w:rsid w:val="009F32E9"/>
    <w:rsid w:val="009F547F"/>
    <w:rsid w:val="009F581A"/>
    <w:rsid w:val="009F6F0B"/>
    <w:rsid w:val="009F7D01"/>
    <w:rsid w:val="00A03D10"/>
    <w:rsid w:val="00A04614"/>
    <w:rsid w:val="00A04825"/>
    <w:rsid w:val="00A11E0C"/>
    <w:rsid w:val="00A11F38"/>
    <w:rsid w:val="00A12A06"/>
    <w:rsid w:val="00A178D3"/>
    <w:rsid w:val="00A20F43"/>
    <w:rsid w:val="00A22727"/>
    <w:rsid w:val="00A2383D"/>
    <w:rsid w:val="00A25611"/>
    <w:rsid w:val="00A26060"/>
    <w:rsid w:val="00A271DB"/>
    <w:rsid w:val="00A31F23"/>
    <w:rsid w:val="00A32965"/>
    <w:rsid w:val="00A37067"/>
    <w:rsid w:val="00A40026"/>
    <w:rsid w:val="00A50539"/>
    <w:rsid w:val="00A536B7"/>
    <w:rsid w:val="00A60AE4"/>
    <w:rsid w:val="00A61DBC"/>
    <w:rsid w:val="00A650FF"/>
    <w:rsid w:val="00A671CC"/>
    <w:rsid w:val="00A70A7E"/>
    <w:rsid w:val="00A73741"/>
    <w:rsid w:val="00A74886"/>
    <w:rsid w:val="00A807DB"/>
    <w:rsid w:val="00A832E4"/>
    <w:rsid w:val="00A85B4C"/>
    <w:rsid w:val="00A86049"/>
    <w:rsid w:val="00A860D8"/>
    <w:rsid w:val="00A86207"/>
    <w:rsid w:val="00A866E2"/>
    <w:rsid w:val="00A8701A"/>
    <w:rsid w:val="00A917A5"/>
    <w:rsid w:val="00A9626F"/>
    <w:rsid w:val="00A97CDB"/>
    <w:rsid w:val="00AB09DB"/>
    <w:rsid w:val="00AB3E6C"/>
    <w:rsid w:val="00AB4121"/>
    <w:rsid w:val="00AB7B47"/>
    <w:rsid w:val="00AC3692"/>
    <w:rsid w:val="00AC43E1"/>
    <w:rsid w:val="00AC5285"/>
    <w:rsid w:val="00AD3CB9"/>
    <w:rsid w:val="00AD5CA4"/>
    <w:rsid w:val="00AD63FD"/>
    <w:rsid w:val="00AE2F8C"/>
    <w:rsid w:val="00AE525D"/>
    <w:rsid w:val="00AE544E"/>
    <w:rsid w:val="00AE659F"/>
    <w:rsid w:val="00AE6616"/>
    <w:rsid w:val="00AE7674"/>
    <w:rsid w:val="00AE76E0"/>
    <w:rsid w:val="00AF0593"/>
    <w:rsid w:val="00AF1BCD"/>
    <w:rsid w:val="00AF2586"/>
    <w:rsid w:val="00AF28F5"/>
    <w:rsid w:val="00AF346A"/>
    <w:rsid w:val="00AF4956"/>
    <w:rsid w:val="00AF506E"/>
    <w:rsid w:val="00AF53A5"/>
    <w:rsid w:val="00B0481E"/>
    <w:rsid w:val="00B07535"/>
    <w:rsid w:val="00B12F34"/>
    <w:rsid w:val="00B13B80"/>
    <w:rsid w:val="00B210DD"/>
    <w:rsid w:val="00B216DD"/>
    <w:rsid w:val="00B25935"/>
    <w:rsid w:val="00B32ECE"/>
    <w:rsid w:val="00B33A50"/>
    <w:rsid w:val="00B3788D"/>
    <w:rsid w:val="00B41266"/>
    <w:rsid w:val="00B42FBA"/>
    <w:rsid w:val="00B43DC7"/>
    <w:rsid w:val="00B507EE"/>
    <w:rsid w:val="00B5104F"/>
    <w:rsid w:val="00B51B62"/>
    <w:rsid w:val="00B53B27"/>
    <w:rsid w:val="00B54631"/>
    <w:rsid w:val="00B57BA1"/>
    <w:rsid w:val="00B603AF"/>
    <w:rsid w:val="00B617AC"/>
    <w:rsid w:val="00B64D6F"/>
    <w:rsid w:val="00B65C14"/>
    <w:rsid w:val="00B6772D"/>
    <w:rsid w:val="00B70647"/>
    <w:rsid w:val="00B714F0"/>
    <w:rsid w:val="00B72489"/>
    <w:rsid w:val="00B72591"/>
    <w:rsid w:val="00B801BD"/>
    <w:rsid w:val="00B82476"/>
    <w:rsid w:val="00B833C5"/>
    <w:rsid w:val="00B8662F"/>
    <w:rsid w:val="00B92A75"/>
    <w:rsid w:val="00B92A79"/>
    <w:rsid w:val="00B93D28"/>
    <w:rsid w:val="00B94327"/>
    <w:rsid w:val="00B95904"/>
    <w:rsid w:val="00BA1499"/>
    <w:rsid w:val="00BA276E"/>
    <w:rsid w:val="00BA46AE"/>
    <w:rsid w:val="00BA5CB6"/>
    <w:rsid w:val="00BA5FA9"/>
    <w:rsid w:val="00BA62A6"/>
    <w:rsid w:val="00BA6B09"/>
    <w:rsid w:val="00BB009C"/>
    <w:rsid w:val="00BB0FEE"/>
    <w:rsid w:val="00BB398F"/>
    <w:rsid w:val="00BB5DC6"/>
    <w:rsid w:val="00BB6743"/>
    <w:rsid w:val="00BB7346"/>
    <w:rsid w:val="00BC18E3"/>
    <w:rsid w:val="00BC1C0A"/>
    <w:rsid w:val="00BC289C"/>
    <w:rsid w:val="00BC34FB"/>
    <w:rsid w:val="00BC60CA"/>
    <w:rsid w:val="00BC6604"/>
    <w:rsid w:val="00BD00DB"/>
    <w:rsid w:val="00BD0FC1"/>
    <w:rsid w:val="00BD5146"/>
    <w:rsid w:val="00BD79B6"/>
    <w:rsid w:val="00BD7C43"/>
    <w:rsid w:val="00BE0351"/>
    <w:rsid w:val="00BE3A71"/>
    <w:rsid w:val="00BE5CF1"/>
    <w:rsid w:val="00BF28BB"/>
    <w:rsid w:val="00BF6305"/>
    <w:rsid w:val="00BF63A6"/>
    <w:rsid w:val="00BF6E28"/>
    <w:rsid w:val="00BF7239"/>
    <w:rsid w:val="00C01190"/>
    <w:rsid w:val="00C0288D"/>
    <w:rsid w:val="00C0449D"/>
    <w:rsid w:val="00C10541"/>
    <w:rsid w:val="00C15BA6"/>
    <w:rsid w:val="00C1708A"/>
    <w:rsid w:val="00C20C50"/>
    <w:rsid w:val="00C23695"/>
    <w:rsid w:val="00C244DC"/>
    <w:rsid w:val="00C24FEB"/>
    <w:rsid w:val="00C27FF0"/>
    <w:rsid w:val="00C32811"/>
    <w:rsid w:val="00C42343"/>
    <w:rsid w:val="00C4343D"/>
    <w:rsid w:val="00C4367E"/>
    <w:rsid w:val="00C44403"/>
    <w:rsid w:val="00C469A1"/>
    <w:rsid w:val="00C57C0F"/>
    <w:rsid w:val="00C641B4"/>
    <w:rsid w:val="00C66402"/>
    <w:rsid w:val="00C6792C"/>
    <w:rsid w:val="00C72BB4"/>
    <w:rsid w:val="00C73A5E"/>
    <w:rsid w:val="00C74CC8"/>
    <w:rsid w:val="00C83792"/>
    <w:rsid w:val="00C86928"/>
    <w:rsid w:val="00C87448"/>
    <w:rsid w:val="00C87A08"/>
    <w:rsid w:val="00C916EF"/>
    <w:rsid w:val="00C92591"/>
    <w:rsid w:val="00C932F7"/>
    <w:rsid w:val="00C937D4"/>
    <w:rsid w:val="00C94CBF"/>
    <w:rsid w:val="00C94D40"/>
    <w:rsid w:val="00C9624A"/>
    <w:rsid w:val="00C96711"/>
    <w:rsid w:val="00CA065E"/>
    <w:rsid w:val="00CA1E47"/>
    <w:rsid w:val="00CA2DF3"/>
    <w:rsid w:val="00CA4573"/>
    <w:rsid w:val="00CA5A78"/>
    <w:rsid w:val="00CA5AAE"/>
    <w:rsid w:val="00CB3578"/>
    <w:rsid w:val="00CB6771"/>
    <w:rsid w:val="00CB6ABD"/>
    <w:rsid w:val="00CB7087"/>
    <w:rsid w:val="00CC061C"/>
    <w:rsid w:val="00CC2EC7"/>
    <w:rsid w:val="00CC3F81"/>
    <w:rsid w:val="00CD19D1"/>
    <w:rsid w:val="00CD5106"/>
    <w:rsid w:val="00CD5ABE"/>
    <w:rsid w:val="00CD6482"/>
    <w:rsid w:val="00CE04E1"/>
    <w:rsid w:val="00CE0728"/>
    <w:rsid w:val="00CE12FE"/>
    <w:rsid w:val="00CE14D3"/>
    <w:rsid w:val="00CE19E2"/>
    <w:rsid w:val="00CE2D02"/>
    <w:rsid w:val="00CE3137"/>
    <w:rsid w:val="00CE324D"/>
    <w:rsid w:val="00CE3D0A"/>
    <w:rsid w:val="00CE3D56"/>
    <w:rsid w:val="00CE3F3F"/>
    <w:rsid w:val="00CE5CE9"/>
    <w:rsid w:val="00CE6D25"/>
    <w:rsid w:val="00CF5E7B"/>
    <w:rsid w:val="00CF6480"/>
    <w:rsid w:val="00D043CC"/>
    <w:rsid w:val="00D07EC4"/>
    <w:rsid w:val="00D16FD6"/>
    <w:rsid w:val="00D21EA3"/>
    <w:rsid w:val="00D23E86"/>
    <w:rsid w:val="00D25AF6"/>
    <w:rsid w:val="00D26E84"/>
    <w:rsid w:val="00D31924"/>
    <w:rsid w:val="00D37C76"/>
    <w:rsid w:val="00D40FDD"/>
    <w:rsid w:val="00D50D4A"/>
    <w:rsid w:val="00D52F35"/>
    <w:rsid w:val="00D55183"/>
    <w:rsid w:val="00D637EA"/>
    <w:rsid w:val="00D70BBA"/>
    <w:rsid w:val="00D714E8"/>
    <w:rsid w:val="00D71F8F"/>
    <w:rsid w:val="00D73D1A"/>
    <w:rsid w:val="00D77577"/>
    <w:rsid w:val="00D809A1"/>
    <w:rsid w:val="00D84C86"/>
    <w:rsid w:val="00D8515C"/>
    <w:rsid w:val="00D86F5D"/>
    <w:rsid w:val="00D921EB"/>
    <w:rsid w:val="00D9304D"/>
    <w:rsid w:val="00D93AF2"/>
    <w:rsid w:val="00D96F03"/>
    <w:rsid w:val="00D97C0D"/>
    <w:rsid w:val="00DA0132"/>
    <w:rsid w:val="00DA074A"/>
    <w:rsid w:val="00DA4677"/>
    <w:rsid w:val="00DA4F0E"/>
    <w:rsid w:val="00DA5F99"/>
    <w:rsid w:val="00DB22D0"/>
    <w:rsid w:val="00DB2C65"/>
    <w:rsid w:val="00DB6AEB"/>
    <w:rsid w:val="00DC0C69"/>
    <w:rsid w:val="00DC32EF"/>
    <w:rsid w:val="00DC36D8"/>
    <w:rsid w:val="00DC45ED"/>
    <w:rsid w:val="00DD0BB0"/>
    <w:rsid w:val="00DD4BA2"/>
    <w:rsid w:val="00DD741D"/>
    <w:rsid w:val="00DE0AA7"/>
    <w:rsid w:val="00DE2E6D"/>
    <w:rsid w:val="00DE40F7"/>
    <w:rsid w:val="00DE4831"/>
    <w:rsid w:val="00DF053C"/>
    <w:rsid w:val="00DF3529"/>
    <w:rsid w:val="00DF3D8D"/>
    <w:rsid w:val="00DF52CB"/>
    <w:rsid w:val="00DF5949"/>
    <w:rsid w:val="00DF59D5"/>
    <w:rsid w:val="00DF7D6F"/>
    <w:rsid w:val="00E02E3A"/>
    <w:rsid w:val="00E036E9"/>
    <w:rsid w:val="00E06932"/>
    <w:rsid w:val="00E12143"/>
    <w:rsid w:val="00E1223B"/>
    <w:rsid w:val="00E12DA3"/>
    <w:rsid w:val="00E13691"/>
    <w:rsid w:val="00E1557A"/>
    <w:rsid w:val="00E16034"/>
    <w:rsid w:val="00E20173"/>
    <w:rsid w:val="00E2083A"/>
    <w:rsid w:val="00E23A4D"/>
    <w:rsid w:val="00E31240"/>
    <w:rsid w:val="00E33D41"/>
    <w:rsid w:val="00E37BB9"/>
    <w:rsid w:val="00E467D3"/>
    <w:rsid w:val="00E54E6C"/>
    <w:rsid w:val="00E65214"/>
    <w:rsid w:val="00E655AE"/>
    <w:rsid w:val="00E66486"/>
    <w:rsid w:val="00E723C2"/>
    <w:rsid w:val="00E72C19"/>
    <w:rsid w:val="00E747E5"/>
    <w:rsid w:val="00E75426"/>
    <w:rsid w:val="00E76A19"/>
    <w:rsid w:val="00E81696"/>
    <w:rsid w:val="00E83FAB"/>
    <w:rsid w:val="00E84A83"/>
    <w:rsid w:val="00E85529"/>
    <w:rsid w:val="00E85DE6"/>
    <w:rsid w:val="00E871F7"/>
    <w:rsid w:val="00E91DE9"/>
    <w:rsid w:val="00E921BF"/>
    <w:rsid w:val="00E9389A"/>
    <w:rsid w:val="00E96426"/>
    <w:rsid w:val="00E97E9D"/>
    <w:rsid w:val="00EA0721"/>
    <w:rsid w:val="00EA74D2"/>
    <w:rsid w:val="00EB2A93"/>
    <w:rsid w:val="00EB2DB9"/>
    <w:rsid w:val="00EB415F"/>
    <w:rsid w:val="00EB6000"/>
    <w:rsid w:val="00EC22C0"/>
    <w:rsid w:val="00EC4845"/>
    <w:rsid w:val="00EC6048"/>
    <w:rsid w:val="00EC730E"/>
    <w:rsid w:val="00ED1166"/>
    <w:rsid w:val="00ED11B1"/>
    <w:rsid w:val="00ED2887"/>
    <w:rsid w:val="00ED467C"/>
    <w:rsid w:val="00ED7C1F"/>
    <w:rsid w:val="00EE4DB7"/>
    <w:rsid w:val="00EE5178"/>
    <w:rsid w:val="00EE7FE1"/>
    <w:rsid w:val="00EF051F"/>
    <w:rsid w:val="00EF0814"/>
    <w:rsid w:val="00EF2211"/>
    <w:rsid w:val="00EF3839"/>
    <w:rsid w:val="00F01806"/>
    <w:rsid w:val="00F046F7"/>
    <w:rsid w:val="00F04CF2"/>
    <w:rsid w:val="00F11016"/>
    <w:rsid w:val="00F13161"/>
    <w:rsid w:val="00F20FCE"/>
    <w:rsid w:val="00F30A47"/>
    <w:rsid w:val="00F31584"/>
    <w:rsid w:val="00F3325E"/>
    <w:rsid w:val="00F35497"/>
    <w:rsid w:val="00F40088"/>
    <w:rsid w:val="00F4196A"/>
    <w:rsid w:val="00F50321"/>
    <w:rsid w:val="00F53F7E"/>
    <w:rsid w:val="00F562CF"/>
    <w:rsid w:val="00F56CC9"/>
    <w:rsid w:val="00F62B9C"/>
    <w:rsid w:val="00F73273"/>
    <w:rsid w:val="00F734DE"/>
    <w:rsid w:val="00F7525D"/>
    <w:rsid w:val="00F757DD"/>
    <w:rsid w:val="00F763F5"/>
    <w:rsid w:val="00F7671C"/>
    <w:rsid w:val="00F81462"/>
    <w:rsid w:val="00F84318"/>
    <w:rsid w:val="00F84E5E"/>
    <w:rsid w:val="00F864D3"/>
    <w:rsid w:val="00F9315B"/>
    <w:rsid w:val="00F94E0F"/>
    <w:rsid w:val="00F96B24"/>
    <w:rsid w:val="00F96EDC"/>
    <w:rsid w:val="00FA5562"/>
    <w:rsid w:val="00FA7802"/>
    <w:rsid w:val="00FA7E02"/>
    <w:rsid w:val="00FB07FC"/>
    <w:rsid w:val="00FB0B44"/>
    <w:rsid w:val="00FB0FD0"/>
    <w:rsid w:val="00FB12B2"/>
    <w:rsid w:val="00FB5093"/>
    <w:rsid w:val="00FC3626"/>
    <w:rsid w:val="00FC3A30"/>
    <w:rsid w:val="00FC5975"/>
    <w:rsid w:val="00FC7D5E"/>
    <w:rsid w:val="00FD155F"/>
    <w:rsid w:val="00FD19FF"/>
    <w:rsid w:val="00FD32C7"/>
    <w:rsid w:val="00FD5012"/>
    <w:rsid w:val="00FE07AD"/>
    <w:rsid w:val="00FE0915"/>
    <w:rsid w:val="00FE21C7"/>
    <w:rsid w:val="00FE33A4"/>
    <w:rsid w:val="00FE355D"/>
    <w:rsid w:val="00FF5683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F"/>
    <w:pPr>
      <w:spacing w:after="200" w:line="276" w:lineRule="auto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1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6071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712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0712D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071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0712D"/>
    <w:rPr>
      <w:rFonts w:eastAsia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0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0712D"/>
    <w:rPr>
      <w:rFonts w:eastAsia="Times New Roman"/>
      <w:sz w:val="28"/>
      <w:szCs w:val="28"/>
    </w:rPr>
  </w:style>
  <w:style w:type="character" w:customStyle="1" w:styleId="blk">
    <w:name w:val="blk"/>
    <w:rsid w:val="0060712D"/>
    <w:rPr>
      <w:rFonts w:cs="Times New Roman"/>
    </w:rPr>
  </w:style>
  <w:style w:type="paragraph" w:styleId="a9">
    <w:name w:val="Balloon Text"/>
    <w:basedOn w:val="a"/>
    <w:link w:val="aa"/>
    <w:uiPriority w:val="99"/>
    <w:rsid w:val="006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0712D"/>
    <w:rPr>
      <w:rFonts w:ascii="Tahoma" w:eastAsia="Times New Roman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60712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12D"/>
    <w:pPr>
      <w:ind w:left="280"/>
    </w:pPr>
  </w:style>
  <w:style w:type="paragraph" w:styleId="11">
    <w:name w:val="toc 1"/>
    <w:basedOn w:val="a"/>
    <w:next w:val="a"/>
    <w:autoRedefine/>
    <w:uiPriority w:val="39"/>
    <w:unhideWhenUsed/>
    <w:rsid w:val="0060712D"/>
    <w:pPr>
      <w:tabs>
        <w:tab w:val="right" w:leader="dot" w:pos="9679"/>
      </w:tabs>
      <w:jc w:val="both"/>
    </w:pPr>
    <w:rPr>
      <w:rFonts w:ascii="Times New Roman CYR" w:hAnsi="Times New Roman CYR" w:cs="Times New Roman CYR"/>
      <w:b/>
      <w:bCs/>
      <w:noProof/>
    </w:rPr>
  </w:style>
  <w:style w:type="character" w:styleId="ac">
    <w:name w:val="Hyperlink"/>
    <w:uiPriority w:val="99"/>
    <w:unhideWhenUsed/>
    <w:rsid w:val="0060712D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4F1E7F"/>
    <w:pPr>
      <w:tabs>
        <w:tab w:val="left" w:pos="-142"/>
      </w:tabs>
      <w:ind w:left="-142" w:firstLine="142"/>
      <w:jc w:val="center"/>
    </w:pPr>
    <w:rPr>
      <w:b/>
    </w:rPr>
  </w:style>
  <w:style w:type="paragraph" w:customStyle="1" w:styleId="ConsPlusTitle">
    <w:name w:val="ConsPlusTitle"/>
    <w:uiPriority w:val="99"/>
    <w:rsid w:val="0060712D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607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071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60712D"/>
    <w:rPr>
      <w:rFonts w:ascii="Times New Roman" w:hAnsi="Times New Roman" w:cs="Times New Roman" w:hint="default"/>
      <w:sz w:val="26"/>
      <w:szCs w:val="26"/>
    </w:rPr>
  </w:style>
  <w:style w:type="character" w:styleId="ad">
    <w:name w:val="footnote reference"/>
    <w:rsid w:val="0060712D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0712D"/>
    <w:rPr>
      <w:rFonts w:eastAsia="Times New Roman"/>
      <w:sz w:val="28"/>
      <w:szCs w:val="28"/>
    </w:rPr>
  </w:style>
  <w:style w:type="paragraph" w:customStyle="1" w:styleId="Default">
    <w:name w:val="Default"/>
    <w:rsid w:val="0060712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60712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10F3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110F38"/>
    <w:rPr>
      <w:rFonts w:eastAsia="Times New Roman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42698"/>
  </w:style>
  <w:style w:type="character" w:styleId="af1">
    <w:name w:val="annotation reference"/>
    <w:uiPriority w:val="99"/>
    <w:semiHidden/>
    <w:unhideWhenUsed/>
    <w:rsid w:val="0064269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269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42698"/>
    <w:rPr>
      <w:rFonts w:eastAsia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269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42698"/>
    <w:rPr>
      <w:rFonts w:eastAsia="Times New Roman"/>
      <w:b/>
      <w:bCs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5F029E"/>
    <w:pPr>
      <w:spacing w:after="120"/>
    </w:pPr>
    <w:rPr>
      <w:rFonts w:ascii="Calibri" w:hAnsi="Calibri"/>
      <w:sz w:val="22"/>
      <w:szCs w:val="22"/>
      <w:lang w:eastAsia="ru-RU"/>
    </w:rPr>
  </w:style>
  <w:style w:type="character" w:customStyle="1" w:styleId="af7">
    <w:name w:val="Основной текст Знак"/>
    <w:link w:val="af6"/>
    <w:uiPriority w:val="99"/>
    <w:semiHidden/>
    <w:rsid w:val="005F029E"/>
    <w:rPr>
      <w:rFonts w:ascii="Calibri" w:eastAsia="Times New Roman" w:hAnsi="Calibri"/>
      <w:sz w:val="22"/>
      <w:szCs w:val="22"/>
    </w:rPr>
  </w:style>
  <w:style w:type="paragraph" w:customStyle="1" w:styleId="Style22">
    <w:name w:val="Style22"/>
    <w:basedOn w:val="a"/>
    <w:uiPriority w:val="99"/>
    <w:rsid w:val="00234ADC"/>
    <w:pPr>
      <w:widowControl w:val="0"/>
      <w:autoSpaceDE w:val="0"/>
      <w:autoSpaceDN w:val="0"/>
      <w:adjustRightInd w:val="0"/>
      <w:spacing w:after="0" w:line="331" w:lineRule="exact"/>
      <w:ind w:firstLine="221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234ADC"/>
    <w:rPr>
      <w:rFonts w:ascii="Times New Roman" w:hAnsi="Times New Roman" w:cs="Times New Roman"/>
      <w:i/>
      <w:iCs/>
      <w:sz w:val="26"/>
      <w:szCs w:val="26"/>
    </w:rPr>
  </w:style>
  <w:style w:type="paragraph" w:styleId="af8">
    <w:name w:val="No Spacing"/>
    <w:uiPriority w:val="1"/>
    <w:qFormat/>
    <w:rsid w:val="007B37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F"/>
    <w:pPr>
      <w:spacing w:after="200" w:line="276" w:lineRule="auto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1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6071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712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0712D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071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0712D"/>
    <w:rPr>
      <w:rFonts w:eastAsia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0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0712D"/>
    <w:rPr>
      <w:rFonts w:eastAsia="Times New Roman"/>
      <w:sz w:val="28"/>
      <w:szCs w:val="28"/>
    </w:rPr>
  </w:style>
  <w:style w:type="character" w:customStyle="1" w:styleId="blk">
    <w:name w:val="blk"/>
    <w:rsid w:val="0060712D"/>
    <w:rPr>
      <w:rFonts w:cs="Times New Roman"/>
    </w:rPr>
  </w:style>
  <w:style w:type="paragraph" w:styleId="a9">
    <w:name w:val="Balloon Text"/>
    <w:basedOn w:val="a"/>
    <w:link w:val="aa"/>
    <w:uiPriority w:val="99"/>
    <w:rsid w:val="0060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0712D"/>
    <w:rPr>
      <w:rFonts w:ascii="Tahoma" w:eastAsia="Times New Roman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60712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12D"/>
    <w:pPr>
      <w:ind w:left="280"/>
    </w:pPr>
  </w:style>
  <w:style w:type="paragraph" w:styleId="11">
    <w:name w:val="toc 1"/>
    <w:basedOn w:val="a"/>
    <w:next w:val="a"/>
    <w:autoRedefine/>
    <w:uiPriority w:val="39"/>
    <w:unhideWhenUsed/>
    <w:rsid w:val="0060712D"/>
    <w:pPr>
      <w:tabs>
        <w:tab w:val="right" w:leader="dot" w:pos="9679"/>
      </w:tabs>
      <w:jc w:val="both"/>
    </w:pPr>
    <w:rPr>
      <w:rFonts w:ascii="Times New Roman CYR" w:hAnsi="Times New Roman CYR" w:cs="Times New Roman CYR"/>
      <w:b/>
      <w:bCs/>
      <w:noProof/>
    </w:rPr>
  </w:style>
  <w:style w:type="character" w:styleId="ac">
    <w:name w:val="Hyperlink"/>
    <w:uiPriority w:val="99"/>
    <w:unhideWhenUsed/>
    <w:rsid w:val="0060712D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4F1E7F"/>
    <w:pPr>
      <w:tabs>
        <w:tab w:val="left" w:pos="-142"/>
      </w:tabs>
      <w:ind w:left="-142" w:firstLine="142"/>
      <w:jc w:val="center"/>
    </w:pPr>
    <w:rPr>
      <w:b/>
    </w:rPr>
  </w:style>
  <w:style w:type="paragraph" w:customStyle="1" w:styleId="ConsPlusTitle">
    <w:name w:val="ConsPlusTitle"/>
    <w:uiPriority w:val="99"/>
    <w:rsid w:val="0060712D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607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071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60712D"/>
    <w:rPr>
      <w:rFonts w:ascii="Times New Roman" w:hAnsi="Times New Roman" w:cs="Times New Roman" w:hint="default"/>
      <w:sz w:val="26"/>
      <w:szCs w:val="26"/>
    </w:rPr>
  </w:style>
  <w:style w:type="character" w:styleId="ad">
    <w:name w:val="footnote reference"/>
    <w:rsid w:val="0060712D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0712D"/>
    <w:rPr>
      <w:rFonts w:eastAsia="Times New Roman"/>
      <w:sz w:val="28"/>
      <w:szCs w:val="28"/>
    </w:rPr>
  </w:style>
  <w:style w:type="paragraph" w:customStyle="1" w:styleId="Default">
    <w:name w:val="Default"/>
    <w:rsid w:val="0060712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60712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10F3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110F38"/>
    <w:rPr>
      <w:rFonts w:eastAsia="Times New Roman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42698"/>
  </w:style>
  <w:style w:type="character" w:styleId="af1">
    <w:name w:val="annotation reference"/>
    <w:uiPriority w:val="99"/>
    <w:semiHidden/>
    <w:unhideWhenUsed/>
    <w:rsid w:val="0064269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269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42698"/>
    <w:rPr>
      <w:rFonts w:eastAsia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269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42698"/>
    <w:rPr>
      <w:rFonts w:eastAsia="Times New Roman"/>
      <w:b/>
      <w:bCs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5F029E"/>
    <w:pPr>
      <w:spacing w:after="120"/>
    </w:pPr>
    <w:rPr>
      <w:rFonts w:ascii="Calibri" w:hAnsi="Calibri"/>
      <w:sz w:val="22"/>
      <w:szCs w:val="22"/>
      <w:lang w:eastAsia="ru-RU"/>
    </w:rPr>
  </w:style>
  <w:style w:type="character" w:customStyle="1" w:styleId="af7">
    <w:name w:val="Основной текст Знак"/>
    <w:link w:val="af6"/>
    <w:uiPriority w:val="99"/>
    <w:semiHidden/>
    <w:rsid w:val="005F029E"/>
    <w:rPr>
      <w:rFonts w:ascii="Calibri" w:eastAsia="Times New Roman" w:hAnsi="Calibri"/>
      <w:sz w:val="22"/>
      <w:szCs w:val="22"/>
    </w:rPr>
  </w:style>
  <w:style w:type="paragraph" w:customStyle="1" w:styleId="Style22">
    <w:name w:val="Style22"/>
    <w:basedOn w:val="a"/>
    <w:uiPriority w:val="99"/>
    <w:rsid w:val="00234ADC"/>
    <w:pPr>
      <w:widowControl w:val="0"/>
      <w:autoSpaceDE w:val="0"/>
      <w:autoSpaceDN w:val="0"/>
      <w:adjustRightInd w:val="0"/>
      <w:spacing w:after="0" w:line="331" w:lineRule="exact"/>
      <w:ind w:firstLine="221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234ADC"/>
    <w:rPr>
      <w:rFonts w:ascii="Times New Roman" w:hAnsi="Times New Roman" w:cs="Times New Roman"/>
      <w:i/>
      <w:iCs/>
      <w:sz w:val="26"/>
      <w:szCs w:val="26"/>
    </w:rPr>
  </w:style>
  <w:style w:type="paragraph" w:styleId="af8">
    <w:name w:val="No Spacing"/>
    <w:uiPriority w:val="1"/>
    <w:qFormat/>
    <w:rsid w:val="007B37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consultantplus://offline/ref=B5B26FB19CE9EE609BB569D8E67061C04C8A93DAAEBC97B0428E19070BD94DC6AB6C3B02CC09408DN7r0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consultantplus://offline/ref=B5B26FB19CE9EE609BB569D8E67061C04C8B95DEA9BE97B0428E19070BNDr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02982FFB78F2618E9BEFBAD902F9D9C97E6E31F65F67BCA73040DFB5D64B1E2F542547086318A8tATCJ" TargetMode="External"/><Relationship Id="rId19" Type="http://schemas.openxmlformats.org/officeDocument/2006/relationships/hyperlink" Target="garantf1://70191362.10833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6DC632609168E35AE1FDB18C20399ECA14F05197DF56FFDE129D650BC419DBBA41E7327CXAHBG" TargetMode="Externa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80762126956354E-2"/>
          <c:y val="0.22903241596408166"/>
          <c:w val="0.51296549042480799"/>
          <c:h val="0.66926635778244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Рассмотренные заявления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h="38100"/>
              <a:bevelB/>
            </a:sp3d>
          </c:spPr>
          <c:explosion val="14"/>
          <c:dPt>
            <c:idx val="0"/>
            <c:bubble3D val="0"/>
          </c:dPt>
          <c:dPt>
            <c:idx val="1"/>
            <c:bubble3D val="0"/>
            <c:explosion val="18"/>
            <c:spPr>
              <a:gradFill>
                <a:gsLst>
                  <a:gs pos="52088">
                    <a:srgbClr val="C00000"/>
                  </a:gs>
                  <a:gs pos="72000">
                    <a:srgbClr val="C00000"/>
                  </a:gs>
                  <a:gs pos="0">
                    <a:srgbClr val="C00000"/>
                  </a:gs>
                  <a:gs pos="28000">
                    <a:srgbClr val="C00000"/>
                  </a:gs>
                  <a:gs pos="100000">
                    <a:srgbClr val="C00000"/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 prstMaterial="metal">
                <a:bevelT h="38100"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h="38100"/>
                <a:bevelB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h="38100"/>
                <a:bevelB/>
              </a:sp3d>
            </c:spPr>
          </c:dPt>
          <c:dLbls>
            <c:dLbl>
              <c:idx val="0"/>
              <c:layout>
                <c:manualLayout>
                  <c:x val="-2.0649363274035191E-3"/>
                  <c:y val="1.25582533694542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5.0847477398658456E-2"/>
                  <c:y val="-4.15417204682212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4.1855740254690389E-2"/>
                  <c:y val="7.792996936476188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3.5063672596480994E-2"/>
                  <c:y val="3.47354651408123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получение лицензии</c:v>
                </c:pt>
                <c:pt idx="1">
                  <c:v>переоформление лицензии</c:v>
                </c:pt>
                <c:pt idx="2">
                  <c:v>прекращение действия лицензии </c:v>
                </c:pt>
                <c:pt idx="3">
                  <c:v>выдаче дубликата лицензии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4038</c:v>
                </c:pt>
                <c:pt idx="1">
                  <c:v>21011</c:v>
                </c:pt>
                <c:pt idx="2" formatCode="General">
                  <c:v>1353</c:v>
                </c:pt>
                <c:pt idx="3" formatCode="General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696919038966286"/>
          <c:y val="4.3650793650793648E-2"/>
          <c:w val="0.46530544636256027"/>
          <c:h val="0.8630355580552431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flat">
              <a:bevelB prst="slope"/>
            </a:sp3d>
          </c:spPr>
          <c:invertIfNegative val="0"/>
          <c:dLbls>
            <c:dLbl>
              <c:idx val="0"/>
              <c:layout>
                <c:manualLayout>
                  <c:x val="6.0025872569011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Проверки лицензиатов в связи с рассмотрением заявлений о переоформлении лицензий</c:v>
                </c:pt>
                <c:pt idx="1">
                  <c:v>Проверки соискателей лицензии</c:v>
                </c:pt>
                <c:pt idx="2">
                  <c:v>Общее количество проверок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8569</c:v>
                </c:pt>
                <c:pt idx="1">
                  <c:v>3720</c:v>
                </c:pt>
                <c:pt idx="2">
                  <c:v>12289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flat">
              <a:bevelB prst="relaxedInset"/>
            </a:sp3d>
          </c:spPr>
          <c:invertIfNegative val="0"/>
          <c:dLbls>
            <c:dLbl>
              <c:idx val="0"/>
              <c:layout>
                <c:manualLayout>
                  <c:x val="6.0025872569011238E-3"/>
                  <c:y val="1.588528104165002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329597690660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364107853690518E-17"/>
                  <c:y val="-8.6647988453303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2997198267995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Проверки лицензиатов в связи с рассмотрением заявлений о переоформлении лицензий</c:v>
                </c:pt>
                <c:pt idx="1">
                  <c:v>Проверки соискателей лицензии</c:v>
                </c:pt>
                <c:pt idx="2">
                  <c:v>Общее количество проверок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8302</c:v>
                </c:pt>
                <c:pt idx="1">
                  <c:v>4689</c:v>
                </c:pt>
                <c:pt idx="2">
                  <c:v>12991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642240"/>
        <c:axId val="276124736"/>
        <c:axId val="0"/>
      </c:bar3DChart>
      <c:catAx>
        <c:axId val="285642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6124736"/>
        <c:crosses val="autoZero"/>
        <c:auto val="1"/>
        <c:lblAlgn val="ctr"/>
        <c:lblOffset val="100"/>
        <c:noMultiLvlLbl val="0"/>
      </c:catAx>
      <c:valAx>
        <c:axId val="276124736"/>
        <c:scaling>
          <c:orientation val="minMax"/>
          <c:max val="15000"/>
          <c:min val="0"/>
        </c:scaling>
        <c:delete val="0"/>
        <c:axPos val="b"/>
        <c:majorGridlines>
          <c:spPr>
            <a:ln w="3178"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5642240"/>
        <c:crosses val="autoZero"/>
        <c:crossBetween val="between"/>
      </c:valAx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8613841828823221"/>
          <c:y val="0.38271077225389694"/>
          <c:w val="0.1198288063576881"/>
          <c:h val="0.30154711178465249"/>
        </c:manualLayout>
      </c:layout>
      <c:overlay val="0"/>
      <c:txPr>
        <a:bodyPr/>
        <a:lstStyle/>
        <a:p>
          <a:pPr>
            <a:defRPr sz="101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071280563613765E-2"/>
          <c:y val="6.3778334526366026E-2"/>
          <c:w val="0.66276204836097607"/>
          <c:h val="0.875000055372825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635000" h="241300"/>
              <a:bevelB w="241300"/>
              <a:contourClr>
                <a:srgbClr val="000000"/>
              </a:contourClr>
            </a:sp3d>
          </c:spPr>
          <c:explosion val="56"/>
          <c:dPt>
            <c:idx val="0"/>
            <c:bubble3D val="0"/>
            <c:explosion val="0"/>
            <c:spPr>
              <a:solidFill>
                <a:srgbClr val="DFDA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635000" h="241300"/>
                <a:bevelB w="241300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rgbClr val="7ABC32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635000" h="241300"/>
                <a:bevelB w="241300"/>
                <a:contourClr>
                  <a:srgbClr val="000000"/>
                </a:contourClr>
              </a:sp3d>
            </c:spPr>
          </c:dPt>
          <c:dLbls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9359</c:v>
                </c:pt>
                <c:pt idx="1">
                  <c:v>2367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66767984528249757"/>
          <c:y val="0.20396444762586494"/>
          <c:w val="0.30986401436662525"/>
          <c:h val="0.45570746838463372"/>
        </c:manualLayout>
      </c:layout>
      <c:overlay val="0"/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50000">
                  <a:srgbClr val="61D6FF"/>
                </a:gs>
                <a:gs pos="100000">
                  <a:srgbClr val="00B0F0"/>
                </a:gs>
              </a:gsLst>
              <a:lin ang="5400000" scaled="0"/>
            </a:gradFill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6.920415224913495E-3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47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Плановые проверки</c:v>
                </c:pt>
                <c:pt idx="2">
                  <c:v>Внеплановые проверки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11726</c:v>
                </c:pt>
                <c:pt idx="1">
                  <c:v>9359</c:v>
                </c:pt>
                <c:pt idx="2">
                  <c:v>2367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00FF"/>
                </a:gs>
                <a:gs pos="50000">
                  <a:srgbClr val="FF66FF"/>
                </a:gs>
                <a:gs pos="100000">
                  <a:srgbClr val="FF00FF"/>
                </a:gs>
              </a:gsLst>
              <a:lin ang="5400000" scaled="0"/>
            </a:gradFill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7.1484407553577714E-4"/>
                  <c:y val="7.9372025146079656E-4"/>
                </c:manualLayout>
              </c:layout>
              <c:spPr/>
              <c:txPr>
                <a:bodyPr/>
                <a:lstStyle/>
                <a:p>
                  <a:pPr>
                    <a:defRPr sz="1002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37486490659256E-3"/>
                  <c:y val="2.6465441819772527E-4"/>
                </c:manualLayout>
              </c:layout>
              <c:spPr/>
              <c:txPr>
                <a:bodyPr/>
                <a:lstStyle/>
                <a:p>
                  <a:pPr>
                    <a:defRPr sz="1002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083333333333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Плановые проверки</c:v>
                </c:pt>
                <c:pt idx="2">
                  <c:v>Внеплановые проверки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12169</c:v>
                </c:pt>
                <c:pt idx="1">
                  <c:v>9756</c:v>
                </c:pt>
                <c:pt idx="2">
                  <c:v>2413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276096"/>
        <c:axId val="36159488"/>
      </c:barChart>
      <c:catAx>
        <c:axId val="28627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2" b="1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6159488"/>
        <c:crosses val="autoZero"/>
        <c:auto val="1"/>
        <c:lblAlgn val="ctr"/>
        <c:lblOffset val="100"/>
        <c:noMultiLvlLbl val="0"/>
      </c:catAx>
      <c:valAx>
        <c:axId val="3615948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6276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67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359747117037504E-2"/>
          <c:y val="4.217481361838317E-2"/>
          <c:w val="0.9235530232087823"/>
          <c:h val="0.455899080990944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 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2.23387708012213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72647881343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38770801221351E-2"/>
                  <c:y val="-3.8029098548665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123</c:v>
                </c:pt>
                <c:pt idx="1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поступление в лицензирующий орган обращений, заявлений о фактах грубых нарушений лицензиатом лицензионных требований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metal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2.2338770801221392E-2"/>
                  <c:y val="-3.7144701425332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72629273795225E-2"/>
                  <c:y val="-3.8914648685899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72471985510404E-2"/>
                  <c:y val="-3.8029098548665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  <c:pt idx="1">
                  <c:v>181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metal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5637139560854944E-2"/>
                  <c:y val="-2.281745912919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338770801221351E-2"/>
                  <c:y val="-2.281745912919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72471985510404E-2"/>
                  <c:y val="-1.9014549274332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1927</c:v>
                </c:pt>
                <c:pt idx="1">
                  <c:v>2095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143488"/>
        <c:axId val="36161216"/>
        <c:axId val="239432960"/>
      </c:bar3DChart>
      <c:catAx>
        <c:axId val="2861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6161216"/>
        <c:crosses val="autoZero"/>
        <c:auto val="1"/>
        <c:lblAlgn val="ctr"/>
        <c:lblOffset val="100"/>
        <c:noMultiLvlLbl val="0"/>
      </c:catAx>
      <c:valAx>
        <c:axId val="3616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86143488"/>
        <c:crosses val="autoZero"/>
        <c:crossBetween val="between"/>
      </c:valAx>
      <c:serAx>
        <c:axId val="239432960"/>
        <c:scaling>
          <c:orientation val="minMax"/>
        </c:scaling>
        <c:delete val="1"/>
        <c:axPos val="b"/>
        <c:majorTickMark val="out"/>
        <c:minorTickMark val="none"/>
        <c:tickLblPos val="nextTo"/>
        <c:crossAx val="36161216"/>
        <c:crosses val="autoZero"/>
      </c:serAx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5.6612429408845193E-2"/>
          <c:y val="0.58822880963408986"/>
          <c:w val="0.88677496232902742"/>
          <c:h val="0.39489331480623746"/>
        </c:manualLayout>
      </c:layout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>
          <a:lumMod val="75000"/>
        </a:sysClr>
      </a:solidFill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85681959975501E-2"/>
          <c:y val="9.3062203467687316E-2"/>
          <c:w val="0.8858071536548533"/>
          <c:h val="0.6261976032795951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C66FF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invertIfNegative val="0"/>
            <c:bubble3D val="0"/>
            <c:spPr>
              <a:solidFill>
                <a:srgbClr val="3399FF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invertIfNegative val="0"/>
            <c:bubble3D val="0"/>
            <c:spPr>
              <a:solidFill>
                <a:srgbClr val="33CCCC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2.2338734380693746E-2"/>
                  <c:y val="-3.2173902028899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52091270424885E-2"/>
                  <c:y val="-2.010880751899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856218542419781E-2"/>
                  <c:y val="-2.3911370639070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Предупреждение </c:v>
                </c:pt>
                <c:pt idx="1">
                  <c:v>Административный штраф</c:v>
                </c:pt>
                <c:pt idx="2">
                  <c:v>Административное приостановление деятельности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376</c:v>
                </c:pt>
                <c:pt idx="1">
                  <c:v>680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Предупреждение </c:v>
                </c:pt>
                <c:pt idx="1">
                  <c:v>Административный штраф</c:v>
                </c:pt>
                <c:pt idx="2">
                  <c:v>Административное приостановление деятельности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146048"/>
        <c:axId val="276127040"/>
        <c:axId val="239433600"/>
      </c:bar3DChart>
      <c:catAx>
        <c:axId val="28614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76127040"/>
        <c:crosses val="autoZero"/>
        <c:auto val="1"/>
        <c:lblAlgn val="ctr"/>
        <c:lblOffset val="100"/>
        <c:noMultiLvlLbl val="0"/>
      </c:catAx>
      <c:valAx>
        <c:axId val="27612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86146048"/>
        <c:crosses val="autoZero"/>
        <c:crossBetween val="between"/>
      </c:valAx>
      <c:serAx>
        <c:axId val="239433600"/>
        <c:scaling>
          <c:orientation val="minMax"/>
        </c:scaling>
        <c:delete val="1"/>
        <c:axPos val="b"/>
        <c:majorTickMark val="out"/>
        <c:minorTickMark val="none"/>
        <c:tickLblPos val="nextTo"/>
        <c:crossAx val="276127040"/>
        <c:crosses val="autoZero"/>
      </c:serAx>
      <c:spPr>
        <a:noFill/>
        <a:ln w="25387">
          <a:noFill/>
        </a:ln>
      </c:spPr>
    </c:plotArea>
    <c:plotVisOnly val="1"/>
    <c:dispBlanksAs val="gap"/>
    <c:showDLblsOverMax val="0"/>
  </c:chart>
  <c:spPr>
    <a:ln>
      <a:solidFill>
        <a:sysClr val="window" lastClr="FFFFFF">
          <a:lumMod val="75000"/>
        </a:sysClr>
      </a:solidFill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091490741481461E-2"/>
          <c:y val="5.5776011204709937E-2"/>
          <c:w val="0.80302705646842787"/>
          <c:h val="0.53575290284454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взысканных административных штрафов (тыс. руб)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6.932409012131715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23112</c:v>
                </c:pt>
                <c:pt idx="1">
                  <c:v>22698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сумма наложенных административных штрафов (тыс. руб)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/>
              <a:bevelB/>
            </a:sp3d>
          </c:spPr>
          <c:invertIfNegative val="0"/>
          <c:dLbls>
            <c:spPr>
              <a:noFill/>
              <a:ln w="2540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25871</c:v>
                </c:pt>
                <c:pt idx="1">
                  <c:v>24852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2"/>
        <c:axId val="286397440"/>
        <c:axId val="36162944"/>
      </c:barChart>
      <c:catAx>
        <c:axId val="28639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36162944"/>
        <c:crosses val="autoZero"/>
        <c:auto val="1"/>
        <c:lblAlgn val="ctr"/>
        <c:lblOffset val="100"/>
        <c:noMultiLvlLbl val="0"/>
      </c:catAx>
      <c:valAx>
        <c:axId val="361629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86397440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4.6320091703298219E-2"/>
          <c:y val="0.72235228660933515"/>
          <c:w val="0.90833052144401216"/>
          <c:h val="0.21823530123250723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>
          <a:lumMod val="75000"/>
        </a:sysClr>
      </a:solidFill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8D08-84ED-43A7-992B-0525F0E5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13702</Words>
  <Characters>78106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91625</CharactersWithSpaces>
  <SharedDoc>false</SharedDoc>
  <HLinks>
    <vt:vector size="162" baseType="variant">
      <vt:variant>
        <vt:i4>6029315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consultantplus://offline/ref=B5B26FB19CE9EE609BB569D8E67061C04C8B95DEA9BE97B0428E19070BNDr9E</vt:lpwstr>
      </vt:variant>
      <vt:variant>
        <vt:lpwstr/>
      </vt:variant>
      <vt:variant>
        <vt:i4>3604529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consultantplus://offline/ref=24BEBF895168FBEF3E80530B9A4536FF32085C4FFF575A4CD26BF39BE58E2368F0874FEF833EB1FB11wFM</vt:lpwstr>
      </vt:variant>
      <vt:variant>
        <vt:lpwstr/>
      </vt:variant>
      <vt:variant>
        <vt:i4>7536698</vt:i4>
      </vt:variant>
      <vt:variant>
        <vt:i4>177</vt:i4>
      </vt:variant>
      <vt:variant>
        <vt:i4>0</vt:i4>
      </vt:variant>
      <vt:variant>
        <vt:i4>5</vt:i4>
      </vt:variant>
      <vt:variant>
        <vt:lpwstr>garantf1://70191362.108335/</vt:lpwstr>
      </vt:variant>
      <vt:variant>
        <vt:lpwstr/>
      </vt:variant>
      <vt:variant>
        <vt:i4>6553654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consultantplus://offline/ref=B5B26FB19CE9EE609BB569D8E67061C04C8A93DAAEBC97B0428E19070BD94DC6AB6C3B02CC09408DN7r0E</vt:lpwstr>
      </vt:variant>
      <vt:variant>
        <vt:lpwstr/>
      </vt:variant>
      <vt:variant>
        <vt:i4>7733307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consultantplus://offline/ref=2D02982FFB78F2618E9BEFBAD902F9D9C97E6E31F65F67BCA73040DFB5D64B1E2F542547086318A8tATCJ</vt:lpwstr>
      </vt:variant>
      <vt:variant>
        <vt:lpwstr/>
      </vt:variant>
      <vt:variant>
        <vt:i4>917595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consultantplus://offline/ref=716DC632609168E35AE1FDB18C20399ECA14F05197DF56FFDE129D650BC419DBBA41E7327CXAHBG</vt:lpwstr>
      </vt:variant>
      <vt:variant>
        <vt:lpwstr/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_Toc444273302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_Toc444273301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_Toc444273300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_Toc444273299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_Toc444273298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_Toc444273297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_Toc444273296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_Toc444273295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_Toc444273294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_Toc444273293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_Toc444273292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_Toc444273291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_Toc444273290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_Toc444273289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_Toc444273288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_Toc444273287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_Toc444273286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_Toc444273285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_Toc444273284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_Toc444273283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_Toc444273282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 Екатерина Александровна</dc:creator>
  <cp:lastModifiedBy>Макаренкова Галина Алексеевна</cp:lastModifiedBy>
  <cp:revision>3</cp:revision>
  <cp:lastPrinted>2018-02-16T08:32:00Z</cp:lastPrinted>
  <dcterms:created xsi:type="dcterms:W3CDTF">2018-03-12T07:45:00Z</dcterms:created>
  <dcterms:modified xsi:type="dcterms:W3CDTF">2018-03-15T09:28:00Z</dcterms:modified>
</cp:coreProperties>
</file>